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305" w:rsidRDefault="009227A3">
      <w:pPr>
        <w:spacing w:line="500" w:lineRule="exact"/>
        <w:ind w:firstLineChars="300" w:firstLine="1325"/>
        <w:rPr>
          <w:rFonts w:ascii="楷体_GB2312" w:eastAsia="楷体_GB2312" w:hAnsi="楷体_GB2312" w:cs="楷体_GB2312"/>
          <w:b/>
          <w:bCs/>
          <w:kern w:val="0"/>
          <w:sz w:val="44"/>
          <w:szCs w:val="44"/>
        </w:rPr>
      </w:pPr>
      <w:bookmarkStart w:id="0" w:name="_GoBack"/>
      <w:bookmarkEnd w:id="0"/>
      <w:r>
        <w:rPr>
          <w:rFonts w:ascii="楷体_GB2312" w:eastAsia="楷体_GB2312" w:hAnsi="楷体_GB2312" w:cs="楷体_GB2312" w:hint="eastAsia"/>
          <w:b/>
          <w:bCs/>
          <w:kern w:val="0"/>
          <w:sz w:val="44"/>
          <w:szCs w:val="44"/>
        </w:rPr>
        <w:t>聚焦核心素养</w:t>
      </w:r>
      <w:r>
        <w:rPr>
          <w:rFonts w:ascii="楷体_GB2312" w:eastAsia="楷体_GB2312" w:hAnsi="楷体_GB2312" w:cs="楷体_GB2312" w:hint="eastAsia"/>
          <w:b/>
          <w:bCs/>
          <w:kern w:val="0"/>
          <w:sz w:val="44"/>
          <w:szCs w:val="44"/>
        </w:rPr>
        <w:t xml:space="preserve">  </w:t>
      </w:r>
      <w:r>
        <w:rPr>
          <w:rFonts w:ascii="楷体_GB2312" w:eastAsia="楷体_GB2312" w:hAnsi="楷体_GB2312" w:cs="楷体_GB2312" w:hint="eastAsia"/>
          <w:b/>
          <w:bCs/>
          <w:kern w:val="0"/>
          <w:sz w:val="44"/>
          <w:szCs w:val="44"/>
        </w:rPr>
        <w:t>改革教学方式</w:t>
      </w:r>
    </w:p>
    <w:p w:rsidR="00CF0305" w:rsidRDefault="009227A3">
      <w:pPr>
        <w:spacing w:line="500" w:lineRule="exact"/>
        <w:ind w:firstLineChars="200" w:firstLine="602"/>
        <w:jc w:val="center"/>
        <w:rPr>
          <w:rFonts w:ascii="宋体" w:hAnsi="宋体" w:cs="宋体"/>
          <w:b/>
          <w:bCs/>
          <w:kern w:val="0"/>
          <w:sz w:val="28"/>
          <w:szCs w:val="28"/>
        </w:rPr>
      </w:pPr>
      <w:r>
        <w:rPr>
          <w:rFonts w:ascii="宋体" w:hAnsi="宋体" w:cs="宋体" w:hint="eastAsia"/>
          <w:b/>
          <w:bCs/>
          <w:kern w:val="0"/>
          <w:sz w:val="30"/>
          <w:szCs w:val="30"/>
        </w:rPr>
        <w:t>——</w:t>
      </w:r>
      <w:r>
        <w:rPr>
          <w:rFonts w:ascii="宋体" w:hAnsi="宋体" w:cs="宋体" w:hint="eastAsia"/>
          <w:b/>
          <w:bCs/>
          <w:kern w:val="0"/>
          <w:sz w:val="28"/>
          <w:szCs w:val="28"/>
        </w:rPr>
        <w:t>记福建省南安国光中学提升办学质量的几点做法</w:t>
      </w:r>
    </w:p>
    <w:p w:rsidR="00CF0305" w:rsidRDefault="009227A3">
      <w:pPr>
        <w:spacing w:beforeLines="50" w:before="156" w:afterLines="50" w:after="156" w:line="360" w:lineRule="auto"/>
        <w:jc w:val="center"/>
        <w:rPr>
          <w:rFonts w:ascii="Times New Roman" w:hAnsi="Times New Roman"/>
          <w:bCs/>
          <w:sz w:val="24"/>
          <w:szCs w:val="24"/>
        </w:rPr>
      </w:pPr>
      <w:r>
        <w:rPr>
          <w:rFonts w:ascii="宋体" w:hAnsi="宋体" w:cs="宋体" w:hint="eastAsia"/>
          <w:bCs/>
          <w:kern w:val="0"/>
          <w:sz w:val="24"/>
          <w:szCs w:val="28"/>
        </w:rPr>
        <w:t xml:space="preserve">  </w:t>
      </w:r>
      <w:r>
        <w:rPr>
          <w:rFonts w:ascii="Times New Roman" w:hAnsi="Times New Roman"/>
          <w:bCs/>
          <w:sz w:val="24"/>
          <w:szCs w:val="24"/>
          <w:lang w:bidi="ar"/>
        </w:rPr>
        <w:t xml:space="preserve"> </w:t>
      </w:r>
      <w:r>
        <w:rPr>
          <w:rFonts w:ascii="Times New Roman" w:hAnsi="Times New Roman" w:cs="宋体" w:hint="eastAsia"/>
          <w:bCs/>
          <w:sz w:val="24"/>
          <w:szCs w:val="24"/>
          <w:lang w:bidi="ar"/>
        </w:rPr>
        <w:t>王水源</w:t>
      </w:r>
    </w:p>
    <w:p w:rsidR="00CF0305" w:rsidRDefault="009227A3">
      <w:pPr>
        <w:spacing w:beforeLines="50" w:before="156" w:afterLines="50" w:after="156" w:line="360" w:lineRule="auto"/>
        <w:jc w:val="center"/>
        <w:rPr>
          <w:rFonts w:ascii="Times New Roman" w:hAnsi="Times New Roman" w:cs="宋体"/>
          <w:bCs/>
          <w:sz w:val="24"/>
          <w:szCs w:val="24"/>
          <w:lang w:bidi="ar"/>
        </w:rPr>
      </w:pPr>
      <w:r>
        <w:rPr>
          <w:rFonts w:ascii="Times New Roman" w:hAnsi="Times New Roman"/>
          <w:bCs/>
          <w:sz w:val="24"/>
          <w:szCs w:val="24"/>
          <w:lang w:bidi="ar"/>
        </w:rPr>
        <w:t xml:space="preserve"> </w:t>
      </w:r>
      <w:r>
        <w:rPr>
          <w:rFonts w:ascii="Times New Roman" w:hAnsi="Times New Roman" w:cs="宋体" w:hint="eastAsia"/>
          <w:bCs/>
          <w:sz w:val="24"/>
          <w:szCs w:val="24"/>
          <w:lang w:bidi="ar"/>
        </w:rPr>
        <w:t>（南安国光中学</w:t>
      </w:r>
      <w:r>
        <w:rPr>
          <w:rFonts w:ascii="Times New Roman" w:hAnsi="Times New Roman"/>
          <w:bCs/>
          <w:sz w:val="24"/>
          <w:szCs w:val="24"/>
          <w:lang w:bidi="ar"/>
        </w:rPr>
        <w:t xml:space="preserve"> </w:t>
      </w:r>
      <w:r>
        <w:rPr>
          <w:rFonts w:ascii="Times New Roman" w:hAnsi="Times New Roman" w:cs="宋体" w:hint="eastAsia"/>
          <w:bCs/>
          <w:sz w:val="24"/>
          <w:szCs w:val="24"/>
          <w:lang w:bidi="ar"/>
        </w:rPr>
        <w:t>，福建</w:t>
      </w:r>
      <w:r>
        <w:rPr>
          <w:rFonts w:ascii="Times New Roman" w:hAnsi="Times New Roman"/>
          <w:bCs/>
          <w:sz w:val="24"/>
          <w:szCs w:val="24"/>
          <w:lang w:bidi="ar"/>
        </w:rPr>
        <w:t xml:space="preserve">   </w:t>
      </w:r>
      <w:r>
        <w:rPr>
          <w:rFonts w:ascii="Times New Roman" w:hAnsi="Times New Roman" w:cs="宋体" w:hint="eastAsia"/>
          <w:bCs/>
          <w:sz w:val="24"/>
          <w:szCs w:val="24"/>
          <w:lang w:bidi="ar"/>
        </w:rPr>
        <w:t>南安</w:t>
      </w:r>
      <w:r>
        <w:rPr>
          <w:rFonts w:ascii="Times New Roman" w:hAnsi="Times New Roman"/>
          <w:bCs/>
          <w:sz w:val="24"/>
          <w:szCs w:val="24"/>
          <w:lang w:bidi="ar"/>
        </w:rPr>
        <w:t xml:space="preserve">  362321</w:t>
      </w:r>
      <w:r>
        <w:rPr>
          <w:rFonts w:ascii="Times New Roman" w:hAnsi="Times New Roman" w:cs="宋体" w:hint="eastAsia"/>
          <w:bCs/>
          <w:sz w:val="24"/>
          <w:szCs w:val="24"/>
          <w:lang w:bidi="ar"/>
        </w:rPr>
        <w:t>）</w:t>
      </w:r>
    </w:p>
    <w:p w:rsidR="00CF0305" w:rsidRDefault="009227A3">
      <w:pPr>
        <w:ind w:firstLineChars="200" w:firstLine="482"/>
        <w:rPr>
          <w:rFonts w:ascii="Times New Roman" w:hAnsi="Times New Roman"/>
          <w:sz w:val="24"/>
          <w:szCs w:val="24"/>
        </w:rPr>
      </w:pPr>
      <w:r>
        <w:rPr>
          <w:rFonts w:ascii="Times New Roman" w:hAnsi="Times New Roman"/>
          <w:b/>
          <w:bCs/>
          <w:sz w:val="24"/>
          <w:szCs w:val="24"/>
        </w:rPr>
        <w:t>摘要：</w:t>
      </w:r>
      <w:r>
        <w:rPr>
          <w:rFonts w:ascii="Times New Roman" w:hAnsi="Times New Roman" w:hint="eastAsia"/>
          <w:sz w:val="24"/>
          <w:szCs w:val="24"/>
        </w:rPr>
        <w:t>聚焦核心素养下的教学方式改革是提升学校办学质量的有效途径，</w:t>
      </w:r>
      <w:r>
        <w:rPr>
          <w:rFonts w:ascii="Times New Roman" w:hAnsi="Times New Roman" w:hint="eastAsia"/>
          <w:sz w:val="24"/>
          <w:szCs w:val="24"/>
        </w:rPr>
        <w:t>福建省</w:t>
      </w:r>
      <w:r>
        <w:rPr>
          <w:rFonts w:ascii="Times New Roman" w:hAnsi="Times New Roman" w:hint="eastAsia"/>
          <w:sz w:val="24"/>
          <w:szCs w:val="24"/>
        </w:rPr>
        <w:t>南安国光中学从构建问题解决式课</w:t>
      </w:r>
      <w:r>
        <w:rPr>
          <w:rFonts w:ascii="Times New Roman" w:hAnsi="Times New Roman" w:hint="eastAsia"/>
          <w:sz w:val="24"/>
          <w:szCs w:val="24"/>
        </w:rPr>
        <w:t>堂</w:t>
      </w:r>
      <w:r>
        <w:rPr>
          <w:rFonts w:ascii="Times New Roman" w:hAnsi="Times New Roman" w:hint="eastAsia"/>
          <w:sz w:val="24"/>
          <w:szCs w:val="24"/>
        </w:rPr>
        <w:t>，</w:t>
      </w:r>
      <w:r>
        <w:rPr>
          <w:rFonts w:ascii="宋体" w:hAnsi="宋体" w:cs="宋体" w:hint="eastAsia"/>
          <w:bCs/>
          <w:kern w:val="0"/>
          <w:sz w:val="24"/>
          <w:szCs w:val="28"/>
        </w:rPr>
        <w:t>开发校本作业，推进分层教学，开设研学课程等方面展开了一系列的基于核心素养培养的教育教学实践和探索，取得了较为丰硕的成果。</w:t>
      </w:r>
    </w:p>
    <w:p w:rsidR="00CF0305" w:rsidRDefault="009227A3">
      <w:pPr>
        <w:ind w:firstLineChars="200" w:firstLine="482"/>
        <w:rPr>
          <w:rFonts w:ascii="Times New Roman" w:hAnsi="Times New Roman"/>
          <w:sz w:val="24"/>
          <w:szCs w:val="24"/>
        </w:rPr>
      </w:pPr>
      <w:r>
        <w:rPr>
          <w:rFonts w:ascii="Times New Roman" w:hAnsi="Times New Roman"/>
          <w:b/>
          <w:bCs/>
          <w:sz w:val="24"/>
          <w:szCs w:val="24"/>
        </w:rPr>
        <w:t>关键词：</w:t>
      </w:r>
      <w:r>
        <w:rPr>
          <w:rFonts w:ascii="Times New Roman" w:hAnsi="Times New Roman" w:hint="eastAsia"/>
          <w:sz w:val="24"/>
          <w:szCs w:val="24"/>
        </w:rPr>
        <w:t>核心素养</w:t>
      </w:r>
      <w:r>
        <w:rPr>
          <w:rFonts w:ascii="Times New Roman" w:hAnsi="Times New Roman" w:hint="eastAsia"/>
          <w:sz w:val="24"/>
          <w:szCs w:val="24"/>
        </w:rPr>
        <w:t xml:space="preserve"> </w:t>
      </w:r>
      <w:r>
        <w:rPr>
          <w:rFonts w:ascii="Times New Roman" w:hAnsi="Times New Roman" w:hint="eastAsia"/>
          <w:sz w:val="24"/>
          <w:szCs w:val="24"/>
        </w:rPr>
        <w:t>教学方式改革</w:t>
      </w:r>
      <w:r>
        <w:rPr>
          <w:rFonts w:ascii="Times New Roman" w:hAnsi="Times New Roman" w:hint="eastAsia"/>
          <w:sz w:val="24"/>
          <w:szCs w:val="24"/>
        </w:rPr>
        <w:t xml:space="preserve"> </w:t>
      </w:r>
      <w:r>
        <w:rPr>
          <w:rFonts w:ascii="Times New Roman" w:hAnsi="Times New Roman" w:hint="eastAsia"/>
          <w:sz w:val="24"/>
          <w:szCs w:val="24"/>
        </w:rPr>
        <w:t>办学质量</w:t>
      </w:r>
    </w:p>
    <w:p w:rsidR="00CF0305" w:rsidRDefault="00CF0305">
      <w:pPr>
        <w:ind w:firstLineChars="200" w:firstLine="480"/>
        <w:rPr>
          <w:rFonts w:ascii="宋体" w:hAnsi="宋体" w:cs="宋体"/>
          <w:bCs/>
          <w:kern w:val="0"/>
          <w:sz w:val="24"/>
          <w:szCs w:val="28"/>
        </w:rPr>
      </w:pPr>
    </w:p>
    <w:p w:rsidR="00CF0305" w:rsidRDefault="009227A3">
      <w:pPr>
        <w:ind w:firstLineChars="200" w:firstLine="480"/>
        <w:rPr>
          <w:rFonts w:ascii="宋体" w:hAnsi="宋体" w:cs="宋体"/>
          <w:bCs/>
          <w:kern w:val="0"/>
          <w:sz w:val="24"/>
          <w:szCs w:val="28"/>
        </w:rPr>
      </w:pPr>
      <w:r>
        <w:rPr>
          <w:rFonts w:ascii="宋体" w:hAnsi="宋体" w:cs="宋体" w:hint="eastAsia"/>
          <w:bCs/>
          <w:kern w:val="0"/>
          <w:sz w:val="24"/>
          <w:szCs w:val="28"/>
        </w:rPr>
        <w:t>新课程改革的核心环节是课程实施，而课程实施的基本途径是教学方式。传统的教学方式，以课堂教学为主，过于重视教师“教”的主导性而忽视学生“学”的主体性，过于强调知识传授而忽视学生能力的锻炼与素养的养成，并无法有效激发学生的学习热情，以至于教学效率较为低下，不利于教育教学质量的提升。随着基础教育改革已进入到聚焦核心素养培养的改革深水区，一些落后的教学方式显然已经成为改革的严重桎梏，亟待改进。南安国光中学虽为传统意义的著名侨校，曾被誉为“侨乡第一校”，亦曾取得比较辉煌的办学成绩，但由于地处农村，近年来生源质量又持续</w:t>
      </w:r>
      <w:r>
        <w:rPr>
          <w:rFonts w:ascii="宋体" w:hAnsi="宋体" w:cs="宋体" w:hint="eastAsia"/>
          <w:bCs/>
          <w:kern w:val="0"/>
          <w:sz w:val="24"/>
          <w:szCs w:val="28"/>
        </w:rPr>
        <w:t>下降，要应对以核心素养为命题立意、试卷容量和命题难度较大的全国高考，并切实保障办学质量，是个不小的挑战。</w:t>
      </w:r>
    </w:p>
    <w:p w:rsidR="00CF0305" w:rsidRDefault="009227A3">
      <w:pPr>
        <w:ind w:firstLineChars="200" w:firstLine="480"/>
        <w:rPr>
          <w:rFonts w:ascii="宋体" w:hAnsi="宋体" w:cs="宋体"/>
          <w:bCs/>
          <w:kern w:val="0"/>
          <w:sz w:val="24"/>
          <w:szCs w:val="28"/>
        </w:rPr>
      </w:pPr>
      <w:r>
        <w:rPr>
          <w:rFonts w:ascii="宋体" w:hAnsi="宋体" w:cs="宋体" w:hint="eastAsia"/>
          <w:bCs/>
          <w:kern w:val="0"/>
          <w:sz w:val="24"/>
          <w:szCs w:val="28"/>
        </w:rPr>
        <w:t>有鉴于此，我校从实际出发，聚焦于核心素养的培养，以改革教学方式作为学校重点建设任务，探寻转变教学方式的可操作性策略，以学生为中心，以探究、自主、合作学习为主要形式，以促进教师自身角色、教学的方式的转变和学生自我定位、学习方式的转变为目的，让广大学生学会自主学习，培育核心素养，提升创新能力，适应高考改革的要求与社会发展的需要，有力地促进了我校办学质量的提升。</w:t>
      </w:r>
    </w:p>
    <w:p w:rsidR="00CF0305" w:rsidRDefault="009227A3">
      <w:pPr>
        <w:ind w:firstLine="480"/>
        <w:rPr>
          <w:rFonts w:ascii="宋体" w:hAnsi="宋体" w:cs="宋体"/>
          <w:b/>
          <w:kern w:val="0"/>
          <w:sz w:val="24"/>
          <w:szCs w:val="28"/>
        </w:rPr>
      </w:pPr>
      <w:r>
        <w:rPr>
          <w:rFonts w:ascii="宋体" w:hAnsi="宋体" w:cs="宋体" w:hint="eastAsia"/>
          <w:b/>
          <w:kern w:val="0"/>
          <w:sz w:val="24"/>
          <w:szCs w:val="28"/>
        </w:rPr>
        <w:t>一、聚焦核心素养，构建问题解决式课堂</w:t>
      </w:r>
    </w:p>
    <w:p w:rsidR="00CF0305" w:rsidRDefault="009227A3">
      <w:pPr>
        <w:ind w:firstLineChars="200" w:firstLine="480"/>
        <w:rPr>
          <w:rFonts w:ascii="宋体" w:hAnsi="宋体" w:cs="宋体"/>
          <w:bCs/>
          <w:kern w:val="0"/>
          <w:sz w:val="24"/>
          <w:szCs w:val="28"/>
        </w:rPr>
      </w:pPr>
      <w:r>
        <w:rPr>
          <w:rFonts w:ascii="宋体" w:hAnsi="宋体" w:cs="宋体" w:hint="eastAsia"/>
          <w:bCs/>
          <w:kern w:val="0"/>
          <w:sz w:val="24"/>
          <w:szCs w:val="28"/>
        </w:rPr>
        <w:t>课堂教学</w:t>
      </w:r>
      <w:r>
        <w:rPr>
          <w:rFonts w:ascii="宋体" w:hAnsi="宋体" w:cs="宋体" w:hint="eastAsia"/>
          <w:bCs/>
          <w:kern w:val="0"/>
          <w:sz w:val="24"/>
          <w:szCs w:val="28"/>
        </w:rPr>
        <w:t>是学校教育教学活动的中心环节，提高课堂教学效益，是实现课程教学改革目标和提高教学质量的重要途径，而上好课则是提高教学质量的最关键的一环。由于近几年来的高考以</w:t>
      </w:r>
      <w:r>
        <w:rPr>
          <w:rFonts w:ascii="宋体" w:hAnsi="宋体" w:cs="宋体"/>
          <w:bCs/>
          <w:kern w:val="0"/>
          <w:sz w:val="24"/>
          <w:szCs w:val="28"/>
        </w:rPr>
        <w:t>核心素养</w:t>
      </w:r>
      <w:r>
        <w:rPr>
          <w:rFonts w:ascii="宋体" w:hAnsi="宋体" w:cs="宋体" w:hint="eastAsia"/>
          <w:bCs/>
          <w:kern w:val="0"/>
          <w:sz w:val="24"/>
          <w:szCs w:val="28"/>
        </w:rPr>
        <w:t>为导向，如高考考试大纲就</w:t>
      </w:r>
      <w:r>
        <w:rPr>
          <w:rFonts w:ascii="宋体" w:hAnsi="宋体" w:cs="宋体"/>
          <w:bCs/>
          <w:kern w:val="0"/>
          <w:sz w:val="24"/>
          <w:szCs w:val="28"/>
        </w:rPr>
        <w:t>明确指出</w:t>
      </w:r>
      <w:r>
        <w:rPr>
          <w:rFonts w:ascii="宋体" w:hAnsi="宋体" w:cs="宋体" w:hint="eastAsia"/>
          <w:bCs/>
          <w:kern w:val="0"/>
          <w:sz w:val="24"/>
          <w:szCs w:val="28"/>
        </w:rPr>
        <w:t>：“</w:t>
      </w:r>
      <w:r>
        <w:rPr>
          <w:rFonts w:ascii="宋体" w:hAnsi="宋体" w:cs="宋体"/>
          <w:bCs/>
          <w:kern w:val="0"/>
          <w:sz w:val="24"/>
          <w:szCs w:val="28"/>
        </w:rPr>
        <w:t>做好与新课程标准理念的衔接，在高考考试目标中适当体现核心素养的要求，梳理必备知识、关键能力、学科素养、核心价值的层次与关系，体现素养导向。</w:t>
      </w:r>
      <w:r>
        <w:rPr>
          <w:rFonts w:ascii="宋体" w:hAnsi="宋体" w:cs="宋体"/>
          <w:bCs/>
          <w:kern w:val="0"/>
          <w:sz w:val="24"/>
          <w:szCs w:val="28"/>
        </w:rPr>
        <w:t>”</w:t>
      </w:r>
      <w:r>
        <w:rPr>
          <w:rFonts w:ascii="宋体" w:hAnsi="宋体" w:cs="宋体" w:hint="eastAsia"/>
          <w:bCs/>
          <w:kern w:val="0"/>
          <w:sz w:val="24"/>
          <w:szCs w:val="28"/>
        </w:rPr>
        <w:t>针对高考素养导向命题的新趋势，传统的以知识导向为主的教学方式及题海战术显然是不适合的，也难以应对的。</w:t>
      </w:r>
    </w:p>
    <w:p w:rsidR="00CF0305" w:rsidRDefault="009227A3">
      <w:pPr>
        <w:ind w:firstLineChars="200" w:firstLine="480"/>
        <w:rPr>
          <w:rFonts w:ascii="宋体" w:hAnsi="宋体" w:cs="宋体"/>
          <w:bCs/>
          <w:kern w:val="0"/>
          <w:sz w:val="24"/>
          <w:szCs w:val="28"/>
        </w:rPr>
      </w:pPr>
      <w:r>
        <w:rPr>
          <w:rFonts w:ascii="宋体" w:hAnsi="宋体" w:cs="宋体" w:hint="eastAsia"/>
          <w:bCs/>
          <w:kern w:val="0"/>
          <w:sz w:val="24"/>
          <w:szCs w:val="28"/>
        </w:rPr>
        <w:t>正如钟启泉教授所言，核心素养</w:t>
      </w:r>
      <w:r>
        <w:rPr>
          <w:rFonts w:ascii="宋体" w:hAnsi="宋体" w:cs="宋体"/>
          <w:bCs/>
          <w:kern w:val="0"/>
          <w:sz w:val="24"/>
          <w:szCs w:val="28"/>
        </w:rPr>
        <w:t>不是直接由教师教出来的</w:t>
      </w:r>
      <w:r>
        <w:rPr>
          <w:rFonts w:ascii="宋体" w:hAnsi="宋体" w:cs="宋体" w:hint="eastAsia"/>
          <w:bCs/>
          <w:kern w:val="0"/>
          <w:sz w:val="24"/>
          <w:szCs w:val="28"/>
        </w:rPr>
        <w:t>，</w:t>
      </w:r>
      <w:r>
        <w:rPr>
          <w:rFonts w:ascii="宋体" w:hAnsi="宋体" w:cs="宋体"/>
          <w:bCs/>
          <w:kern w:val="0"/>
          <w:sz w:val="24"/>
          <w:szCs w:val="28"/>
        </w:rPr>
        <w:t>而是在问题情境中借</w:t>
      </w:r>
      <w:r>
        <w:rPr>
          <w:rFonts w:ascii="宋体" w:hAnsi="宋体" w:cs="宋体"/>
          <w:bCs/>
          <w:kern w:val="0"/>
          <w:sz w:val="24"/>
          <w:szCs w:val="28"/>
        </w:rPr>
        <w:t>助问题解决的实践培育起来的。</w:t>
      </w:r>
      <w:r>
        <w:rPr>
          <w:rFonts w:ascii="宋体" w:hAnsi="宋体" w:cs="宋体" w:hint="eastAsia"/>
          <w:bCs/>
          <w:kern w:val="0"/>
          <w:sz w:val="24"/>
          <w:szCs w:val="28"/>
        </w:rPr>
        <w:t>为了更好落实核心素养培养，近年来我校在省教育科学规划办和泉州市教科申请并立项了三个有关“问题教学法”的课题，旨在构建“问题解决式课堂”，推动教师立足各学科核心素养，通过改变知识呈现形式，精心设计问题情景，将知识问题化，问题层次化，问题情景化，在教学过程中引导学生形成问题意识，激发学生思维，经过师生间有效对话去分析、解决问题。在“问题解决式课堂”中，学生探究学习，自主学习、合作学习，学生通过问题解决过程，将知识、能力、情感、态度、方法培养等融为一体。这些课</w:t>
      </w:r>
      <w:r>
        <w:rPr>
          <w:rFonts w:ascii="宋体" w:hAnsi="宋体" w:cs="宋体" w:hint="eastAsia"/>
          <w:bCs/>
          <w:kern w:val="0"/>
          <w:sz w:val="24"/>
          <w:szCs w:val="28"/>
        </w:rPr>
        <w:lastRenderedPageBreak/>
        <w:t>题的成果是我校推进教学方式</w:t>
      </w:r>
      <w:r>
        <w:rPr>
          <w:rFonts w:ascii="宋体" w:hAnsi="宋体" w:cs="宋体" w:hint="eastAsia"/>
          <w:bCs/>
          <w:kern w:val="0"/>
          <w:sz w:val="24"/>
          <w:szCs w:val="28"/>
        </w:rPr>
        <w:t>改革的重要基础。近两年来，学校顺应新的教育改革形势，从核心素养的要求出发，在原有的研究基础上，适时更新，深化研究，构建符合核心素养教育要求，切合各学科实际，有助于培养学生问题意识的有效教学模式。通过开设讲座、印发材料、利用现代信息技术开展网上培训与资源共享、组织学习交流等灵活多样的形式培训全校专职教师；让全校专职教师熟悉“问题教学法”相关理论，领悟新的问题教学模式，结合各自学科特点、自身特长与不同学情，积极实践；以“问题教学法”的推广与落实为抓手，逐步打破教师“一言堂”的传统教学模式，将课堂还给学生，提升学</w:t>
      </w:r>
      <w:r>
        <w:rPr>
          <w:rFonts w:ascii="宋体" w:hAnsi="宋体" w:cs="宋体" w:hint="eastAsia"/>
          <w:bCs/>
          <w:kern w:val="0"/>
          <w:sz w:val="24"/>
          <w:szCs w:val="28"/>
        </w:rPr>
        <w:t>生自主发展能力。</w:t>
      </w:r>
    </w:p>
    <w:p w:rsidR="00CF0305" w:rsidRDefault="009227A3">
      <w:pPr>
        <w:widowControl/>
        <w:ind w:firstLineChars="200" w:firstLine="482"/>
        <w:rPr>
          <w:rFonts w:ascii="宋体" w:hAnsi="宋体" w:cs="宋体"/>
          <w:b/>
          <w:kern w:val="0"/>
          <w:sz w:val="24"/>
          <w:szCs w:val="28"/>
        </w:rPr>
      </w:pPr>
      <w:r>
        <w:rPr>
          <w:rFonts w:ascii="宋体" w:hAnsi="宋体" w:cs="宋体" w:hint="eastAsia"/>
          <w:b/>
          <w:kern w:val="0"/>
          <w:sz w:val="24"/>
          <w:szCs w:val="28"/>
        </w:rPr>
        <w:t>二、指向核心素养，编制符合学情的校本作业</w:t>
      </w:r>
    </w:p>
    <w:p w:rsidR="00CF0305" w:rsidRDefault="009227A3">
      <w:pPr>
        <w:widowControl/>
        <w:ind w:firstLineChars="200" w:firstLine="480"/>
        <w:rPr>
          <w:rFonts w:ascii="宋体" w:hAnsi="宋体" w:cs="宋体"/>
          <w:bCs/>
          <w:kern w:val="0"/>
          <w:sz w:val="24"/>
          <w:szCs w:val="28"/>
        </w:rPr>
      </w:pPr>
      <w:r>
        <w:rPr>
          <w:rFonts w:ascii="宋体" w:hAnsi="宋体" w:cs="宋体" w:hint="eastAsia"/>
          <w:bCs/>
          <w:kern w:val="0"/>
          <w:sz w:val="24"/>
          <w:szCs w:val="28"/>
        </w:rPr>
        <w:t>以往，中学一线教学所使用的作业主要依赖上级教育主管部门审读推荐征订的练习册，或者是通过各种途径去搜集、编印大量的练习。这样的作业方式存在着题目质量良莠不齐，对本校校情学情缺乏针对性，与各学科核心素养培养目标存在偏差，学生学业负担沉重等弊端，严重束缚着教学质量的提升与学生个性的发展。新课改要落实学生核心素养的培养目标，作业的变革是改革教学方式不可忽视的一个重要环节。为此，我们组织教师立足本校实际，积极开展指向核心素养培养的校本作业的研究和应用，充分发</w:t>
      </w:r>
      <w:r>
        <w:rPr>
          <w:rFonts w:ascii="宋体" w:hAnsi="宋体" w:cs="宋体" w:hint="eastAsia"/>
          <w:bCs/>
          <w:kern w:val="0"/>
          <w:sz w:val="24"/>
          <w:szCs w:val="28"/>
        </w:rPr>
        <w:t>挥集体智慧，基于学情，紧扣核心素养目标，整合教材、教辅资源，编印了《国光中学校本作业》。基于核心素养和学情的校本作业编制，既减轻学生的负担，又提升学习的质量，有利于学生各学科核心素养培养目标的达成。为了确保校本作业的质量，我校提出了编印校本作业的具体要求如下：第一，各教研组创建本学科的题库，各个教师深入题海，精选好题，分门别类地充实题库；第二，各备课组按照教学计划与课时把编写作业的任务分配给每个老师，教师以新版本的课标为指导，深入研究各学科核心素养培养目标的要求，根据教情学情、教学重难点，利用题库中的题目通</w:t>
      </w:r>
      <w:r>
        <w:rPr>
          <w:rFonts w:ascii="宋体" w:hAnsi="宋体" w:cs="宋体" w:hint="eastAsia"/>
          <w:bCs/>
          <w:kern w:val="0"/>
          <w:sz w:val="24"/>
          <w:szCs w:val="28"/>
        </w:rPr>
        <w:t>过复制、改编、模仿、创新等方式提前编好各单元的“校本作业”初稿；第三，备课组在集体备课中严格把关，根据学情与素养目标的落实审核“校本作业”初稿，定稿交付印刷，分发给学生使用；第四，针对学生作业情况对校本作业进行分析、修改、备注后充入题库。学校督促各学科各年级备课组落实以上各个环节，依次循环滚动，最终形成具有本校特色、可共享的、有助于核心素养培养目标落地的校本作业资源库，确保了教育教学质量的提升。</w:t>
      </w:r>
    </w:p>
    <w:p w:rsidR="00CF0305" w:rsidRDefault="009227A3">
      <w:pPr>
        <w:widowControl/>
        <w:ind w:firstLineChars="200" w:firstLine="482"/>
        <w:rPr>
          <w:rFonts w:ascii="宋体" w:hAnsi="宋体" w:cs="宋体"/>
          <w:b/>
          <w:kern w:val="0"/>
          <w:sz w:val="24"/>
          <w:szCs w:val="28"/>
        </w:rPr>
      </w:pPr>
      <w:r>
        <w:rPr>
          <w:rFonts w:ascii="宋体" w:hAnsi="宋体" w:cs="宋体" w:hint="eastAsia"/>
          <w:b/>
          <w:kern w:val="0"/>
          <w:sz w:val="24"/>
          <w:szCs w:val="28"/>
        </w:rPr>
        <w:t>三、基于核心素养，推行面向全体的分层教学</w:t>
      </w:r>
    </w:p>
    <w:p w:rsidR="00CF0305" w:rsidRDefault="009227A3">
      <w:pPr>
        <w:ind w:firstLineChars="200" w:firstLine="480"/>
        <w:rPr>
          <w:rFonts w:ascii="宋体" w:hAnsi="宋体" w:cs="宋体"/>
          <w:bCs/>
          <w:kern w:val="0"/>
          <w:sz w:val="24"/>
          <w:szCs w:val="28"/>
        </w:rPr>
      </w:pPr>
      <w:r>
        <w:rPr>
          <w:rFonts w:ascii="宋体" w:hAnsi="宋体" w:cs="宋体" w:hint="eastAsia"/>
          <w:bCs/>
          <w:kern w:val="0"/>
          <w:sz w:val="24"/>
          <w:szCs w:val="28"/>
        </w:rPr>
        <w:t>关照学生的个体需求，促进学生特长发挥是新形势下教学方式变革的内在要求。</w:t>
      </w:r>
      <w:r>
        <w:rPr>
          <w:rFonts w:ascii="宋体" w:hAnsi="宋体" w:cs="宋体" w:hint="eastAsia"/>
          <w:bCs/>
          <w:kern w:val="0"/>
          <w:sz w:val="24"/>
          <w:szCs w:val="28"/>
        </w:rPr>
        <w:t>然而教育行为并不同于工厂的流水线生产，我们面对的不是规格一致、冷冰冰的产品而是各具特点、个性迥异的学生。而传统的集体授课模式的一个困境就是无法充分地关注学生的个体差异，难以确保学生的个体学习需求的满足。而分层教学的实施，能最大程度促进全体同学主动学习的思想意识，努力使全体同学都能积极参与到相应层次的学习。对于学困生可以低起点，多帮助，多鼓励，陪着走；对于中等生可以定目标，多关注，多激励，领着走；对于学优生可以寄希望，多指导，重自主，自己走。实践证明，分层教学的实施是有利于激发学生内在学习激能的，学生始终处于</w:t>
      </w:r>
      <w:r>
        <w:rPr>
          <w:rFonts w:ascii="宋体" w:hAnsi="宋体" w:cs="宋体" w:hint="eastAsia"/>
          <w:bCs/>
          <w:kern w:val="0"/>
          <w:sz w:val="24"/>
          <w:szCs w:val="28"/>
        </w:rPr>
        <w:t>一种积极主动的学习状态。我校十分关注学生的不同特点和个性差异，在不打乱原有行政班的基础上，根据学生不同学科的不同学业能力，重新编排学科教学班，每个年段分成若干个扶优班、补缺班、竞赛班等，进行分层教学有针对性扶优辅差，满足了不同层次学生的个性化需求，取得了较为明显的效果。为了使分层教学制度化，我校还制定了《国光中学教师托底培优实施方案》，实行师生结对挂钩制，因材施教，帮助学生树立学习目标，利用课</w:t>
      </w:r>
      <w:r>
        <w:rPr>
          <w:rFonts w:ascii="宋体" w:hAnsi="宋体" w:cs="宋体" w:hint="eastAsia"/>
          <w:bCs/>
          <w:kern w:val="0"/>
          <w:sz w:val="24"/>
          <w:szCs w:val="28"/>
        </w:rPr>
        <w:lastRenderedPageBreak/>
        <w:t>余时间分别辅导，布置分层作业，引导学生扬长避短以促进他们自主、和谐、健康、全面发展。进</w:t>
      </w:r>
      <w:r>
        <w:rPr>
          <w:rFonts w:ascii="宋体" w:hAnsi="宋体" w:cs="宋体"/>
          <w:bCs/>
          <w:kern w:val="0"/>
          <w:sz w:val="24"/>
          <w:szCs w:val="28"/>
        </w:rPr>
        <w:t>行分层</w:t>
      </w:r>
      <w:r>
        <w:rPr>
          <w:rFonts w:ascii="宋体" w:hAnsi="宋体" w:cs="宋体" w:hint="eastAsia"/>
          <w:bCs/>
          <w:kern w:val="0"/>
          <w:sz w:val="24"/>
          <w:szCs w:val="28"/>
        </w:rPr>
        <w:t>教学</w:t>
      </w:r>
      <w:r>
        <w:rPr>
          <w:rFonts w:ascii="宋体" w:hAnsi="宋体" w:cs="宋体"/>
          <w:bCs/>
          <w:kern w:val="0"/>
          <w:sz w:val="24"/>
          <w:szCs w:val="28"/>
        </w:rPr>
        <w:t>的</w:t>
      </w:r>
      <w:r>
        <w:rPr>
          <w:rFonts w:ascii="宋体" w:hAnsi="宋体" w:cs="宋体" w:hint="eastAsia"/>
          <w:bCs/>
          <w:kern w:val="0"/>
          <w:sz w:val="24"/>
          <w:szCs w:val="28"/>
        </w:rPr>
        <w:t>实践</w:t>
      </w:r>
      <w:r>
        <w:rPr>
          <w:rFonts w:ascii="宋体" w:hAnsi="宋体" w:cs="宋体"/>
          <w:bCs/>
          <w:kern w:val="0"/>
          <w:sz w:val="24"/>
          <w:szCs w:val="28"/>
        </w:rPr>
        <w:t>，</w:t>
      </w:r>
      <w:r>
        <w:rPr>
          <w:rFonts w:ascii="宋体" w:hAnsi="宋体" w:cs="宋体" w:hint="eastAsia"/>
          <w:bCs/>
          <w:kern w:val="0"/>
          <w:sz w:val="24"/>
          <w:szCs w:val="28"/>
        </w:rPr>
        <w:t>针对不同</w:t>
      </w:r>
      <w:r>
        <w:rPr>
          <w:rFonts w:ascii="宋体" w:hAnsi="宋体" w:cs="宋体"/>
          <w:bCs/>
          <w:kern w:val="0"/>
          <w:sz w:val="24"/>
          <w:szCs w:val="28"/>
        </w:rPr>
        <w:t>学生</w:t>
      </w:r>
      <w:r>
        <w:rPr>
          <w:rFonts w:ascii="宋体" w:hAnsi="宋体" w:cs="宋体" w:hint="eastAsia"/>
          <w:bCs/>
          <w:kern w:val="0"/>
          <w:sz w:val="24"/>
          <w:szCs w:val="28"/>
        </w:rPr>
        <w:t>学会基于自我学情</w:t>
      </w:r>
      <w:r>
        <w:rPr>
          <w:rFonts w:ascii="宋体" w:hAnsi="宋体" w:cs="宋体"/>
          <w:bCs/>
          <w:kern w:val="0"/>
          <w:sz w:val="24"/>
          <w:szCs w:val="28"/>
        </w:rPr>
        <w:t>相应的学习策略，以获取学业知识、完成学业目标，学会独立学习。通过有</w:t>
      </w:r>
      <w:r>
        <w:rPr>
          <w:rFonts w:ascii="宋体" w:hAnsi="宋体" w:cs="宋体" w:hint="eastAsia"/>
          <w:bCs/>
          <w:kern w:val="0"/>
          <w:sz w:val="24"/>
          <w:szCs w:val="28"/>
        </w:rPr>
        <w:t>针对性指导</w:t>
      </w:r>
      <w:r>
        <w:rPr>
          <w:rFonts w:ascii="宋体" w:hAnsi="宋体" w:cs="宋体"/>
          <w:bCs/>
          <w:kern w:val="0"/>
          <w:sz w:val="24"/>
          <w:szCs w:val="28"/>
        </w:rPr>
        <w:t>，教会学生在复杂多样化的情境中发展、应用多种学习策略</w:t>
      </w:r>
      <w:r>
        <w:rPr>
          <w:rFonts w:ascii="宋体" w:hAnsi="宋体" w:cs="宋体" w:hint="eastAsia"/>
          <w:bCs/>
          <w:kern w:val="0"/>
          <w:sz w:val="24"/>
          <w:szCs w:val="28"/>
        </w:rPr>
        <w:t>，从而确保教育教学质量的提升。</w:t>
      </w:r>
    </w:p>
    <w:p w:rsidR="00CF0305" w:rsidRDefault="009227A3">
      <w:pPr>
        <w:widowControl/>
        <w:ind w:firstLineChars="200" w:firstLine="482"/>
        <w:rPr>
          <w:rFonts w:ascii="宋体" w:hAnsi="宋体" w:cs="宋体"/>
          <w:b/>
          <w:kern w:val="0"/>
          <w:sz w:val="24"/>
          <w:szCs w:val="28"/>
        </w:rPr>
      </w:pPr>
      <w:r>
        <w:rPr>
          <w:rFonts w:ascii="宋体" w:hAnsi="宋体" w:cs="宋体" w:hint="eastAsia"/>
          <w:b/>
          <w:kern w:val="0"/>
          <w:sz w:val="24"/>
          <w:szCs w:val="28"/>
        </w:rPr>
        <w:t>四、润泽核心素养，开设各种类型的研学课程</w:t>
      </w:r>
    </w:p>
    <w:p w:rsidR="00CF0305" w:rsidRDefault="009227A3">
      <w:pPr>
        <w:ind w:firstLineChars="200" w:firstLine="480"/>
        <w:rPr>
          <w:rFonts w:ascii="宋体" w:hAnsi="宋体" w:cs="宋体"/>
          <w:bCs/>
          <w:kern w:val="0"/>
          <w:sz w:val="24"/>
          <w:szCs w:val="28"/>
        </w:rPr>
      </w:pPr>
      <w:r>
        <w:rPr>
          <w:rFonts w:ascii="宋体" w:hAnsi="宋体" w:cs="宋体" w:hint="eastAsia"/>
          <w:bCs/>
          <w:kern w:val="0"/>
          <w:sz w:val="24"/>
          <w:szCs w:val="28"/>
        </w:rPr>
        <w:t>“核心素养</w:t>
      </w:r>
      <w:r>
        <w:rPr>
          <w:rFonts w:ascii="宋体" w:hAnsi="宋体" w:cs="宋体"/>
          <w:bCs/>
          <w:kern w:val="0"/>
          <w:sz w:val="24"/>
          <w:szCs w:val="28"/>
        </w:rPr>
        <w:t>”</w:t>
      </w:r>
      <w:r>
        <w:rPr>
          <w:rFonts w:ascii="宋体" w:hAnsi="宋体" w:cs="宋体"/>
          <w:bCs/>
          <w:kern w:val="0"/>
          <w:sz w:val="24"/>
          <w:szCs w:val="28"/>
        </w:rPr>
        <w:t>是指</w:t>
      </w:r>
      <w:r>
        <w:rPr>
          <w:rFonts w:ascii="宋体" w:hAnsi="宋体" w:cs="宋体" w:hint="eastAsia"/>
          <w:bCs/>
          <w:kern w:val="0"/>
          <w:sz w:val="24"/>
          <w:szCs w:val="28"/>
        </w:rPr>
        <w:t>“</w:t>
      </w:r>
      <w:r>
        <w:rPr>
          <w:rFonts w:ascii="宋体" w:hAnsi="宋体" w:cs="宋体"/>
          <w:bCs/>
          <w:kern w:val="0"/>
          <w:sz w:val="24"/>
          <w:szCs w:val="28"/>
        </w:rPr>
        <w:t>学生在接受相应学段的教育过程中逐步形成起来的适应个人终身发展与社会发展的人格品质与关键能力</w:t>
      </w:r>
      <w:r>
        <w:rPr>
          <w:rFonts w:ascii="宋体" w:hAnsi="宋体" w:cs="宋体"/>
          <w:bCs/>
          <w:kern w:val="0"/>
          <w:sz w:val="24"/>
          <w:szCs w:val="28"/>
        </w:rPr>
        <w:t>”</w:t>
      </w:r>
      <w:r>
        <w:rPr>
          <w:rFonts w:ascii="宋体" w:hAnsi="宋体" w:cs="宋体"/>
          <w:bCs/>
          <w:kern w:val="0"/>
          <w:sz w:val="24"/>
          <w:szCs w:val="28"/>
        </w:rPr>
        <w:t>。</w:t>
      </w:r>
      <w:r>
        <w:rPr>
          <w:rFonts w:ascii="宋体" w:hAnsi="宋体" w:cs="宋体" w:hint="eastAsia"/>
          <w:bCs/>
          <w:kern w:val="0"/>
          <w:sz w:val="24"/>
          <w:szCs w:val="28"/>
        </w:rPr>
        <w:t>因此，学生核心素养的培养、个体全面发展的达成决不能仅仅依靠学校的课堂教学，社会实践和体验活动也是学生成长过程中不可或缺的一项。读万卷书，行万里路，这两者是不可偏废的。为此，我们认真落实立德树人根本任务，以学生发展为本，积极创造条件，充分整合各种资源，开设各种沟通学校与社会的研学课程。目前已经开发的比较成熟项目有“探寻厦大中的光前精神——国光中学厦大之旅研学活动”、“光前精神、励我前行——国光中学重走光前路远足研学活动”等。这些研学活动的开设既锤炼了学生的意志，也开拓了学生的视野，丰富了学生的体验，让他们在亲</w:t>
      </w:r>
      <w:r>
        <w:rPr>
          <w:rFonts w:ascii="宋体" w:hAnsi="宋体" w:cs="宋体" w:hint="eastAsia"/>
          <w:bCs/>
          <w:kern w:val="0"/>
          <w:sz w:val="24"/>
          <w:szCs w:val="28"/>
        </w:rPr>
        <w:t>身实践中感受家国情怀、感受社会发展、增强了社会责任意识和社会参与意识。今后我们还要继续面向社会拓展研学资源，开展更多微主题教育教学实践活动，将立德树人的大主题细化为更聚焦的系列微主题，开发出更多的研学课程，通过研与学进行有机的结合，引导学生去发现一些值得研究的新问题，促进书本知识和生活经验的深度融合，帮助学生了解国情、乡情，开阔眼界、增长知识，着力提高他们的科学素养、社会责任感、创新精神和实践能力等，全面提升学生综合素质。</w:t>
      </w:r>
    </w:p>
    <w:p w:rsidR="00CF0305" w:rsidRDefault="009227A3">
      <w:pPr>
        <w:ind w:firstLineChars="200" w:firstLine="480"/>
        <w:rPr>
          <w:rFonts w:ascii="宋体" w:hAnsi="宋体" w:cs="宋体"/>
          <w:b/>
          <w:kern w:val="0"/>
          <w:sz w:val="24"/>
          <w:szCs w:val="28"/>
        </w:rPr>
      </w:pPr>
      <w:r>
        <w:rPr>
          <w:rFonts w:ascii="宋体" w:hAnsi="宋体" w:cs="宋体" w:hint="eastAsia"/>
          <w:bCs/>
          <w:kern w:val="0"/>
          <w:sz w:val="24"/>
          <w:szCs w:val="28"/>
        </w:rPr>
        <w:t>总之，近两年来，通过大力推进基于核心素养培养的教学方式的改革，南安国光中学的办学质量</w:t>
      </w:r>
      <w:r>
        <w:rPr>
          <w:rFonts w:ascii="宋体" w:hAnsi="宋体" w:cs="宋体" w:hint="eastAsia"/>
          <w:bCs/>
          <w:kern w:val="0"/>
          <w:sz w:val="24"/>
          <w:szCs w:val="28"/>
        </w:rPr>
        <w:t>有了明显的提升，在福建省高中学业水平考试、高考、五大学科奥赛等方面均取得了显著的成果。其中，福建省高中学业水平考试全校学生合格率达</w:t>
      </w:r>
      <w:r>
        <w:rPr>
          <w:rFonts w:ascii="宋体" w:hAnsi="宋体" w:cs="宋体" w:hint="eastAsia"/>
          <w:bCs/>
          <w:kern w:val="0"/>
          <w:sz w:val="24"/>
          <w:szCs w:val="28"/>
        </w:rPr>
        <w:t>99.98%</w:t>
      </w:r>
      <w:r>
        <w:rPr>
          <w:rFonts w:ascii="宋体" w:hAnsi="宋体" w:cs="宋体" w:hint="eastAsia"/>
          <w:bCs/>
          <w:kern w:val="0"/>
          <w:sz w:val="24"/>
          <w:szCs w:val="28"/>
        </w:rPr>
        <w:t>；高考本一上线率近两年均提升</w:t>
      </w:r>
      <w:r>
        <w:rPr>
          <w:rFonts w:ascii="宋体" w:hAnsi="宋体" w:cs="宋体" w:hint="eastAsia"/>
          <w:bCs/>
          <w:kern w:val="0"/>
          <w:sz w:val="24"/>
          <w:szCs w:val="28"/>
        </w:rPr>
        <w:t>30%</w:t>
      </w:r>
      <w:r>
        <w:rPr>
          <w:rFonts w:ascii="宋体" w:hAnsi="宋体" w:cs="宋体" w:hint="eastAsia"/>
          <w:bCs/>
          <w:kern w:val="0"/>
          <w:sz w:val="24"/>
          <w:szCs w:val="28"/>
        </w:rPr>
        <w:t>以上，上线人数和上线率均居泉州市各高中校前列；数学、化学、生物、信息技术奥赛也有明显的突破，有</w:t>
      </w:r>
      <w:r>
        <w:rPr>
          <w:rFonts w:ascii="宋体" w:hAnsi="宋体" w:cs="宋体" w:hint="eastAsia"/>
          <w:bCs/>
          <w:kern w:val="0"/>
          <w:sz w:val="24"/>
          <w:szCs w:val="28"/>
        </w:rPr>
        <w:t>15</w:t>
      </w:r>
      <w:r>
        <w:rPr>
          <w:rFonts w:ascii="宋体" w:hAnsi="宋体" w:cs="宋体" w:hint="eastAsia"/>
          <w:bCs/>
          <w:kern w:val="0"/>
          <w:sz w:val="24"/>
          <w:szCs w:val="28"/>
        </w:rPr>
        <w:t>人次获省级及以上表彰，有三人次代表福建省参加全国赛。此外，学生在各级征文、演讲、合唱、棋类等赛事上的成绩也比较突出，而作为排球传统强校，在省市各级赛事中也取得突出成绩，我校女排</w:t>
      </w:r>
      <w:r>
        <w:rPr>
          <w:rFonts w:ascii="宋体" w:hAnsi="宋体" w:cs="宋体" w:hint="eastAsia"/>
          <w:bCs/>
          <w:kern w:val="0"/>
          <w:sz w:val="24"/>
          <w:szCs w:val="28"/>
        </w:rPr>
        <w:t>2014</w:t>
      </w:r>
      <w:r>
        <w:rPr>
          <w:rFonts w:ascii="宋体" w:hAnsi="宋体" w:cs="宋体" w:hint="eastAsia"/>
          <w:bCs/>
          <w:kern w:val="0"/>
          <w:sz w:val="24"/>
          <w:szCs w:val="28"/>
        </w:rPr>
        <w:t>年至</w:t>
      </w:r>
      <w:r>
        <w:rPr>
          <w:rFonts w:ascii="宋体" w:hAnsi="宋体" w:cs="宋体" w:hint="eastAsia"/>
          <w:bCs/>
          <w:kern w:val="0"/>
          <w:sz w:val="24"/>
          <w:szCs w:val="28"/>
        </w:rPr>
        <w:t>2017</w:t>
      </w:r>
      <w:r>
        <w:rPr>
          <w:rFonts w:ascii="宋体" w:hAnsi="宋体" w:cs="宋体" w:hint="eastAsia"/>
          <w:bCs/>
          <w:kern w:val="0"/>
          <w:sz w:val="24"/>
          <w:szCs w:val="28"/>
        </w:rPr>
        <w:t>年</w:t>
      </w:r>
      <w:r>
        <w:rPr>
          <w:rFonts w:ascii="宋体" w:hAnsi="宋体" w:cs="宋体" w:hint="eastAsia"/>
          <w:bCs/>
          <w:kern w:val="0"/>
          <w:sz w:val="24"/>
          <w:szCs w:val="28"/>
        </w:rPr>
        <w:t>连续</w:t>
      </w:r>
      <w:r>
        <w:rPr>
          <w:rFonts w:ascii="宋体" w:hAnsi="宋体" w:cs="宋体" w:hint="eastAsia"/>
          <w:bCs/>
          <w:kern w:val="0"/>
          <w:sz w:val="24"/>
          <w:szCs w:val="28"/>
        </w:rPr>
        <w:t>4</w:t>
      </w:r>
      <w:r>
        <w:rPr>
          <w:rFonts w:ascii="宋体" w:hAnsi="宋体" w:cs="宋体" w:hint="eastAsia"/>
          <w:bCs/>
          <w:kern w:val="0"/>
          <w:sz w:val="24"/>
          <w:szCs w:val="28"/>
        </w:rPr>
        <w:t>年在福建省中学生排球锦标赛上夺得</w:t>
      </w:r>
      <w:r>
        <w:rPr>
          <w:rFonts w:ascii="宋体" w:hAnsi="宋体" w:cs="宋体" w:hint="eastAsia"/>
          <w:bCs/>
          <w:kern w:val="0"/>
          <w:sz w:val="24"/>
          <w:szCs w:val="28"/>
        </w:rPr>
        <w:t>一</w:t>
      </w:r>
      <w:r>
        <w:rPr>
          <w:rFonts w:ascii="宋体" w:hAnsi="宋体" w:cs="宋体" w:hint="eastAsia"/>
          <w:bCs/>
          <w:kern w:val="0"/>
          <w:sz w:val="24"/>
          <w:szCs w:val="28"/>
        </w:rPr>
        <w:t>等奖</w:t>
      </w:r>
      <w:r>
        <w:rPr>
          <w:rFonts w:ascii="宋体" w:hAnsi="宋体" w:cs="宋体" w:hint="eastAsia"/>
          <w:bCs/>
          <w:kern w:val="0"/>
          <w:sz w:val="24"/>
          <w:szCs w:val="28"/>
        </w:rPr>
        <w:t>，在</w:t>
      </w:r>
      <w:r>
        <w:rPr>
          <w:rFonts w:ascii="宋体" w:hAnsi="宋体" w:cs="宋体" w:hint="eastAsia"/>
          <w:bCs/>
          <w:kern w:val="0"/>
          <w:sz w:val="24"/>
          <w:szCs w:val="28"/>
        </w:rPr>
        <w:t>201</w:t>
      </w:r>
      <w:r>
        <w:rPr>
          <w:rFonts w:ascii="宋体" w:hAnsi="宋体" w:cs="宋体" w:hint="eastAsia"/>
          <w:bCs/>
          <w:kern w:val="0"/>
          <w:sz w:val="24"/>
          <w:szCs w:val="28"/>
        </w:rPr>
        <w:t>8</w:t>
      </w:r>
      <w:r>
        <w:rPr>
          <w:rFonts w:ascii="宋体" w:hAnsi="宋体" w:cs="宋体" w:hint="eastAsia"/>
          <w:bCs/>
          <w:kern w:val="0"/>
          <w:sz w:val="24"/>
          <w:szCs w:val="28"/>
        </w:rPr>
        <w:t>年获得了福建省中学生排球锦标赛二等奖。学校办学质量的提升坚定了我们的办学目标，我们将继续推进核心素养下的教学方式的改革，积极探索提升学生综合素养的有效措施，努力提高学校的办学质量，以培养更多服务于国家和社会发展需要的有用人才，办人民满意的教育。</w:t>
      </w:r>
    </w:p>
    <w:p w:rsidR="00CF0305" w:rsidRDefault="009227A3">
      <w:pPr>
        <w:spacing w:line="500" w:lineRule="exact"/>
        <w:rPr>
          <w:rFonts w:ascii="宋体" w:hAnsi="宋体" w:cs="宋体"/>
          <w:bCs/>
          <w:kern w:val="0"/>
          <w:sz w:val="24"/>
          <w:szCs w:val="28"/>
        </w:rPr>
      </w:pPr>
      <w:r>
        <w:rPr>
          <w:rFonts w:ascii="宋体" w:hAnsi="宋体" w:cs="宋体" w:hint="eastAsia"/>
          <w:bCs/>
          <w:kern w:val="0"/>
          <w:sz w:val="24"/>
          <w:szCs w:val="28"/>
        </w:rPr>
        <w:t>参考文献：</w:t>
      </w:r>
    </w:p>
    <w:p w:rsidR="00CF0305" w:rsidRDefault="009227A3">
      <w:pPr>
        <w:numPr>
          <w:ilvl w:val="0"/>
          <w:numId w:val="1"/>
        </w:numPr>
        <w:rPr>
          <w:rFonts w:ascii="宋体" w:hAnsi="宋体" w:cs="宋体"/>
          <w:bCs/>
          <w:kern w:val="0"/>
          <w:szCs w:val="21"/>
        </w:rPr>
      </w:pPr>
      <w:r>
        <w:rPr>
          <w:rFonts w:ascii="宋体" w:hAnsi="宋体" w:cs="宋体" w:hint="eastAsia"/>
          <w:bCs/>
          <w:kern w:val="0"/>
          <w:szCs w:val="21"/>
        </w:rPr>
        <w:t>钟启泉</w:t>
      </w:r>
      <w:r>
        <w:rPr>
          <w:rFonts w:ascii="宋体" w:hAnsi="宋体" w:cs="宋体" w:hint="eastAsia"/>
          <w:bCs/>
          <w:kern w:val="0"/>
          <w:szCs w:val="21"/>
        </w:rPr>
        <w:t>.</w:t>
      </w:r>
      <w:r>
        <w:rPr>
          <w:rFonts w:ascii="宋体" w:hAnsi="宋体" w:cs="宋体" w:hint="eastAsia"/>
          <w:bCs/>
          <w:kern w:val="0"/>
          <w:szCs w:val="21"/>
        </w:rPr>
        <w:t>基于核心素养的课程发展</w:t>
      </w:r>
      <w:r>
        <w:rPr>
          <w:rFonts w:ascii="宋体" w:hAnsi="宋体" w:cs="宋体" w:hint="eastAsia"/>
          <w:bCs/>
          <w:kern w:val="0"/>
          <w:szCs w:val="21"/>
        </w:rPr>
        <w:t xml:space="preserve">: </w:t>
      </w:r>
      <w:r>
        <w:rPr>
          <w:rFonts w:ascii="宋体" w:hAnsi="宋体" w:cs="宋体"/>
          <w:bCs/>
          <w:kern w:val="0"/>
          <w:szCs w:val="21"/>
        </w:rPr>
        <w:t>挑战与课题</w:t>
      </w:r>
      <w:r>
        <w:rPr>
          <w:rFonts w:ascii="宋体" w:hAnsi="宋体" w:cs="宋体" w:hint="eastAsia"/>
          <w:bCs/>
          <w:kern w:val="0"/>
          <w:szCs w:val="21"/>
        </w:rPr>
        <w:t>[J].</w:t>
      </w:r>
      <w:r>
        <w:rPr>
          <w:rFonts w:ascii="宋体" w:hAnsi="宋体" w:cs="宋体" w:hint="eastAsia"/>
          <w:bCs/>
          <w:kern w:val="0"/>
          <w:szCs w:val="21"/>
        </w:rPr>
        <w:t>全球教育展望，</w:t>
      </w:r>
      <w:r>
        <w:rPr>
          <w:rFonts w:ascii="宋体" w:hAnsi="宋体" w:cs="宋体" w:hint="eastAsia"/>
          <w:bCs/>
          <w:kern w:val="0"/>
          <w:szCs w:val="21"/>
        </w:rPr>
        <w:t>2016</w:t>
      </w:r>
      <w:r>
        <w:rPr>
          <w:rFonts w:ascii="宋体" w:hAnsi="宋体" w:cs="宋体" w:hint="eastAsia"/>
          <w:bCs/>
          <w:kern w:val="0"/>
          <w:szCs w:val="21"/>
        </w:rPr>
        <w:t>（</w:t>
      </w:r>
      <w:r>
        <w:rPr>
          <w:rFonts w:ascii="宋体" w:hAnsi="宋体" w:cs="宋体" w:hint="eastAsia"/>
          <w:bCs/>
          <w:kern w:val="0"/>
          <w:szCs w:val="21"/>
        </w:rPr>
        <w:t>1</w:t>
      </w:r>
      <w:r>
        <w:rPr>
          <w:rFonts w:ascii="宋体" w:hAnsi="宋体" w:cs="宋体" w:hint="eastAsia"/>
          <w:bCs/>
          <w:kern w:val="0"/>
          <w:szCs w:val="21"/>
        </w:rPr>
        <w:t>）</w:t>
      </w:r>
      <w:r>
        <w:rPr>
          <w:rFonts w:ascii="宋体" w:hAnsi="宋体" w:cs="宋体" w:hint="eastAsia"/>
          <w:bCs/>
          <w:kern w:val="0"/>
          <w:szCs w:val="21"/>
        </w:rPr>
        <w:t>.</w:t>
      </w:r>
    </w:p>
    <w:p w:rsidR="00CF0305" w:rsidRDefault="009227A3">
      <w:pPr>
        <w:numPr>
          <w:ilvl w:val="0"/>
          <w:numId w:val="1"/>
        </w:numPr>
        <w:rPr>
          <w:rFonts w:ascii="宋体" w:hAnsi="宋体" w:cs="宋体"/>
          <w:bCs/>
          <w:kern w:val="0"/>
          <w:szCs w:val="21"/>
        </w:rPr>
      </w:pPr>
      <w:r>
        <w:rPr>
          <w:rFonts w:ascii="宋体" w:hAnsi="宋体" w:cs="宋体" w:hint="eastAsia"/>
          <w:bCs/>
          <w:kern w:val="0"/>
          <w:szCs w:val="21"/>
        </w:rPr>
        <w:t>教育部</w:t>
      </w:r>
      <w:r>
        <w:rPr>
          <w:rFonts w:ascii="宋体" w:hAnsi="宋体" w:cs="宋体" w:hint="eastAsia"/>
          <w:bCs/>
          <w:kern w:val="0"/>
          <w:szCs w:val="21"/>
        </w:rPr>
        <w:t>.</w:t>
      </w:r>
      <w:r>
        <w:rPr>
          <w:rFonts w:ascii="宋体" w:hAnsi="宋体" w:cs="宋体" w:hint="eastAsia"/>
          <w:bCs/>
          <w:kern w:val="0"/>
          <w:szCs w:val="21"/>
        </w:rPr>
        <w:t>普通高中课程方案</w:t>
      </w:r>
      <w:r>
        <w:rPr>
          <w:rFonts w:ascii="宋体" w:hAnsi="宋体" w:cs="宋体" w:hint="eastAsia"/>
          <w:bCs/>
          <w:kern w:val="0"/>
          <w:szCs w:val="21"/>
        </w:rPr>
        <w:t>(2017</w:t>
      </w:r>
      <w:r>
        <w:rPr>
          <w:rFonts w:ascii="宋体" w:hAnsi="宋体" w:cs="宋体" w:hint="eastAsia"/>
          <w:bCs/>
          <w:kern w:val="0"/>
          <w:szCs w:val="21"/>
        </w:rPr>
        <w:t>版</w:t>
      </w:r>
      <w:r>
        <w:rPr>
          <w:rFonts w:ascii="宋体" w:hAnsi="宋体" w:cs="宋体" w:hint="eastAsia"/>
          <w:bCs/>
          <w:kern w:val="0"/>
          <w:szCs w:val="21"/>
        </w:rPr>
        <w:t>)</w:t>
      </w:r>
      <w:r>
        <w:rPr>
          <w:rFonts w:ascii="宋体" w:hAnsi="宋体" w:cs="宋体" w:hint="eastAsia"/>
          <w:bCs/>
          <w:kern w:val="0"/>
          <w:szCs w:val="21"/>
        </w:rPr>
        <w:t>［</w:t>
      </w:r>
      <w:r>
        <w:rPr>
          <w:rFonts w:ascii="宋体" w:hAnsi="宋体" w:cs="宋体" w:hint="eastAsia"/>
          <w:bCs/>
          <w:kern w:val="0"/>
          <w:szCs w:val="21"/>
        </w:rPr>
        <w:t>S</w:t>
      </w:r>
      <w:r>
        <w:rPr>
          <w:rFonts w:ascii="宋体" w:hAnsi="宋体" w:cs="宋体" w:hint="eastAsia"/>
          <w:bCs/>
          <w:kern w:val="0"/>
          <w:szCs w:val="21"/>
        </w:rPr>
        <w:t>］</w:t>
      </w:r>
      <w:r>
        <w:rPr>
          <w:rFonts w:ascii="宋体" w:hAnsi="宋体" w:cs="宋体" w:hint="eastAsia"/>
          <w:bCs/>
          <w:kern w:val="0"/>
          <w:szCs w:val="21"/>
        </w:rPr>
        <w:t>.</w:t>
      </w:r>
      <w:r>
        <w:rPr>
          <w:rFonts w:ascii="宋体" w:hAnsi="宋体" w:cs="宋体" w:hint="eastAsia"/>
          <w:bCs/>
          <w:kern w:val="0"/>
          <w:szCs w:val="21"/>
        </w:rPr>
        <w:t>北京：人民教育出版社，</w:t>
      </w:r>
      <w:r>
        <w:rPr>
          <w:rFonts w:ascii="宋体" w:hAnsi="宋体" w:cs="宋体" w:hint="eastAsia"/>
          <w:bCs/>
          <w:kern w:val="0"/>
          <w:szCs w:val="21"/>
        </w:rPr>
        <w:t>2018.</w:t>
      </w:r>
    </w:p>
    <w:p w:rsidR="00CF0305" w:rsidRDefault="00CF0305">
      <w:pPr>
        <w:spacing w:line="500" w:lineRule="exact"/>
        <w:ind w:firstLineChars="200" w:firstLine="643"/>
        <w:rPr>
          <w:rFonts w:ascii="宋体" w:hAnsi="宋体" w:cs="宋体"/>
          <w:b/>
          <w:kern w:val="0"/>
          <w:sz w:val="32"/>
          <w:szCs w:val="32"/>
        </w:rPr>
      </w:pPr>
    </w:p>
    <w:p w:rsidR="00CF0305" w:rsidRDefault="009227A3">
      <w:pPr>
        <w:spacing w:line="360" w:lineRule="auto"/>
        <w:rPr>
          <w:rFonts w:ascii="Times New Roman" w:hAnsi="Times New Roman"/>
          <w:sz w:val="24"/>
          <w:szCs w:val="24"/>
        </w:rPr>
      </w:pPr>
      <w:r>
        <w:rPr>
          <w:rFonts w:ascii="黑体" w:eastAsia="黑体" w:hAnsi="宋体" w:cs="黑体" w:hint="eastAsia"/>
          <w:sz w:val="24"/>
          <w:szCs w:val="24"/>
          <w:lang w:bidi="ar"/>
        </w:rPr>
        <w:t>基金项目</w:t>
      </w:r>
      <w:r>
        <w:rPr>
          <w:rFonts w:ascii="黑体" w:eastAsia="黑体" w:hAnsi="宋体" w:cs="黑体" w:hint="eastAsia"/>
          <w:sz w:val="24"/>
          <w:szCs w:val="24"/>
          <w:lang w:bidi="ar"/>
        </w:rPr>
        <w:t>:</w:t>
      </w:r>
      <w:r>
        <w:rPr>
          <w:rFonts w:ascii="黑体" w:eastAsia="黑体" w:hAnsi="宋体" w:cs="黑体" w:hint="eastAsia"/>
          <w:sz w:val="24"/>
          <w:szCs w:val="24"/>
          <w:lang w:bidi="ar"/>
        </w:rPr>
        <w:t>福建省教育科学“十三五”规划</w:t>
      </w:r>
      <w:r>
        <w:rPr>
          <w:rFonts w:ascii="黑体" w:eastAsia="黑体" w:hAnsi="宋体" w:cs="黑体" w:hint="eastAsia"/>
          <w:sz w:val="24"/>
          <w:szCs w:val="24"/>
          <w:lang w:bidi="ar"/>
        </w:rPr>
        <w:t>2018</w:t>
      </w:r>
      <w:r>
        <w:rPr>
          <w:rFonts w:ascii="黑体" w:eastAsia="黑体" w:hAnsi="宋体" w:cs="黑体" w:hint="eastAsia"/>
          <w:sz w:val="24"/>
          <w:szCs w:val="24"/>
          <w:lang w:bidi="ar"/>
        </w:rPr>
        <w:t>年课题“立德树人导向下的中学历史微主题教学实践研究”（课题编号：</w:t>
      </w:r>
      <w:r>
        <w:rPr>
          <w:rFonts w:ascii="黑体" w:eastAsia="黑体" w:hAnsi="宋体" w:cs="黑体" w:hint="eastAsia"/>
          <w:sz w:val="24"/>
          <w:szCs w:val="24"/>
          <w:lang w:bidi="ar"/>
        </w:rPr>
        <w:t>FJJKXB18-565</w:t>
      </w:r>
      <w:r>
        <w:rPr>
          <w:rFonts w:ascii="黑体" w:eastAsia="黑体" w:hAnsi="宋体" w:cs="黑体" w:hint="eastAsia"/>
          <w:sz w:val="24"/>
          <w:szCs w:val="24"/>
          <w:lang w:bidi="ar"/>
        </w:rPr>
        <w:t>）</w:t>
      </w:r>
    </w:p>
    <w:p w:rsidR="00CF0305" w:rsidRDefault="00CF0305">
      <w:pPr>
        <w:spacing w:line="620" w:lineRule="exact"/>
        <w:ind w:firstLineChars="200" w:firstLine="883"/>
        <w:rPr>
          <w:rFonts w:ascii="宋体" w:hAnsi="宋体" w:cs="宋体"/>
          <w:b/>
          <w:kern w:val="0"/>
          <w:sz w:val="44"/>
          <w:szCs w:val="44"/>
        </w:rPr>
      </w:pPr>
    </w:p>
    <w:sectPr w:rsidR="00CF03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7A3" w:rsidRDefault="009227A3" w:rsidP="00A2297F">
      <w:r>
        <w:separator/>
      </w:r>
    </w:p>
  </w:endnote>
  <w:endnote w:type="continuationSeparator" w:id="0">
    <w:p w:rsidR="009227A3" w:rsidRDefault="009227A3" w:rsidP="00A2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7A3" w:rsidRDefault="009227A3" w:rsidP="00A2297F">
      <w:r>
        <w:separator/>
      </w:r>
    </w:p>
  </w:footnote>
  <w:footnote w:type="continuationSeparator" w:id="0">
    <w:p w:rsidR="009227A3" w:rsidRDefault="009227A3" w:rsidP="00A229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AD49A"/>
    <w:multiLevelType w:val="singleLevel"/>
    <w:tmpl w:val="09CAD49A"/>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F16018"/>
    <w:rsid w:val="0013342D"/>
    <w:rsid w:val="00262BE3"/>
    <w:rsid w:val="006756AA"/>
    <w:rsid w:val="009227A3"/>
    <w:rsid w:val="00923945"/>
    <w:rsid w:val="00A2297F"/>
    <w:rsid w:val="00A45555"/>
    <w:rsid w:val="00B2215D"/>
    <w:rsid w:val="00CF0305"/>
    <w:rsid w:val="017913B3"/>
    <w:rsid w:val="02462078"/>
    <w:rsid w:val="02F16018"/>
    <w:rsid w:val="033D2EEE"/>
    <w:rsid w:val="03576F49"/>
    <w:rsid w:val="035A2514"/>
    <w:rsid w:val="05E36ADB"/>
    <w:rsid w:val="05F21228"/>
    <w:rsid w:val="09201839"/>
    <w:rsid w:val="0EE1580D"/>
    <w:rsid w:val="106836AC"/>
    <w:rsid w:val="11007C6A"/>
    <w:rsid w:val="11D952A6"/>
    <w:rsid w:val="13644069"/>
    <w:rsid w:val="13C561E8"/>
    <w:rsid w:val="15BD7048"/>
    <w:rsid w:val="165140D1"/>
    <w:rsid w:val="16C32EFF"/>
    <w:rsid w:val="16D239F5"/>
    <w:rsid w:val="17CE1003"/>
    <w:rsid w:val="185A3469"/>
    <w:rsid w:val="18CC47F0"/>
    <w:rsid w:val="19773D1D"/>
    <w:rsid w:val="1A3958F9"/>
    <w:rsid w:val="1A566E38"/>
    <w:rsid w:val="1B512687"/>
    <w:rsid w:val="1D192FE2"/>
    <w:rsid w:val="1F6E043C"/>
    <w:rsid w:val="1F70795B"/>
    <w:rsid w:val="20150440"/>
    <w:rsid w:val="211B7713"/>
    <w:rsid w:val="220621BC"/>
    <w:rsid w:val="23593259"/>
    <w:rsid w:val="240075D1"/>
    <w:rsid w:val="24CD57F9"/>
    <w:rsid w:val="25676E23"/>
    <w:rsid w:val="26BE534A"/>
    <w:rsid w:val="26D614B4"/>
    <w:rsid w:val="28F41D24"/>
    <w:rsid w:val="2A100A2B"/>
    <w:rsid w:val="2A6D5B18"/>
    <w:rsid w:val="2AC715CC"/>
    <w:rsid w:val="2AEA4F67"/>
    <w:rsid w:val="2AEE0296"/>
    <w:rsid w:val="2B411595"/>
    <w:rsid w:val="2DD43593"/>
    <w:rsid w:val="2F05596F"/>
    <w:rsid w:val="2FA86D63"/>
    <w:rsid w:val="31AC1E78"/>
    <w:rsid w:val="324725AE"/>
    <w:rsid w:val="335833BE"/>
    <w:rsid w:val="34A25DD0"/>
    <w:rsid w:val="35AB2B84"/>
    <w:rsid w:val="36650FF4"/>
    <w:rsid w:val="374C2F6D"/>
    <w:rsid w:val="386F5C88"/>
    <w:rsid w:val="3A0A1AA2"/>
    <w:rsid w:val="3A4B08CC"/>
    <w:rsid w:val="3A8907E0"/>
    <w:rsid w:val="3B124828"/>
    <w:rsid w:val="3B5468AB"/>
    <w:rsid w:val="3CD80D16"/>
    <w:rsid w:val="3D207DD1"/>
    <w:rsid w:val="3D8D3F63"/>
    <w:rsid w:val="3E061D45"/>
    <w:rsid w:val="3E540637"/>
    <w:rsid w:val="3E5726FA"/>
    <w:rsid w:val="3F1D2DB2"/>
    <w:rsid w:val="3FA34504"/>
    <w:rsid w:val="413548CA"/>
    <w:rsid w:val="41F271A2"/>
    <w:rsid w:val="441C4BA1"/>
    <w:rsid w:val="441C5E43"/>
    <w:rsid w:val="45EA1C2D"/>
    <w:rsid w:val="46457308"/>
    <w:rsid w:val="47304A4D"/>
    <w:rsid w:val="475243EA"/>
    <w:rsid w:val="49474B77"/>
    <w:rsid w:val="4A772438"/>
    <w:rsid w:val="4B026EFC"/>
    <w:rsid w:val="4C6261E4"/>
    <w:rsid w:val="4CEB0B61"/>
    <w:rsid w:val="4E0D58D8"/>
    <w:rsid w:val="4E2E2C28"/>
    <w:rsid w:val="4FFC4599"/>
    <w:rsid w:val="52615900"/>
    <w:rsid w:val="529F2037"/>
    <w:rsid w:val="52B96875"/>
    <w:rsid w:val="53006B00"/>
    <w:rsid w:val="539402C3"/>
    <w:rsid w:val="543D2C32"/>
    <w:rsid w:val="55722D0B"/>
    <w:rsid w:val="56234260"/>
    <w:rsid w:val="56561BE8"/>
    <w:rsid w:val="597F5BC4"/>
    <w:rsid w:val="598967A6"/>
    <w:rsid w:val="5B73510D"/>
    <w:rsid w:val="5BA53E7B"/>
    <w:rsid w:val="5BC22C19"/>
    <w:rsid w:val="5C285B12"/>
    <w:rsid w:val="5D0859DF"/>
    <w:rsid w:val="5D442A4C"/>
    <w:rsid w:val="5F935CDD"/>
    <w:rsid w:val="60676BA0"/>
    <w:rsid w:val="60CC7EC5"/>
    <w:rsid w:val="61576120"/>
    <w:rsid w:val="61B86F0A"/>
    <w:rsid w:val="63EF14A2"/>
    <w:rsid w:val="6454383E"/>
    <w:rsid w:val="64760720"/>
    <w:rsid w:val="68654F88"/>
    <w:rsid w:val="6A0D217A"/>
    <w:rsid w:val="6BC5548C"/>
    <w:rsid w:val="6D0B16FD"/>
    <w:rsid w:val="6DB87760"/>
    <w:rsid w:val="6E9B2EBE"/>
    <w:rsid w:val="6F9B6F44"/>
    <w:rsid w:val="71F51C35"/>
    <w:rsid w:val="74530184"/>
    <w:rsid w:val="74D5230F"/>
    <w:rsid w:val="758D4508"/>
    <w:rsid w:val="78157232"/>
    <w:rsid w:val="79407822"/>
    <w:rsid w:val="7A2329F4"/>
    <w:rsid w:val="7AA45354"/>
    <w:rsid w:val="7C411032"/>
    <w:rsid w:val="7C613DE7"/>
    <w:rsid w:val="7C68166E"/>
    <w:rsid w:val="7CA6495E"/>
    <w:rsid w:val="7D2E27BF"/>
    <w:rsid w:val="7DC45B90"/>
    <w:rsid w:val="7F051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C71E34-E024-49CD-A8C2-7FD9F5DB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229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2297F"/>
    <w:rPr>
      <w:rFonts w:ascii="Calibri" w:hAnsi="Calibri"/>
      <w:kern w:val="2"/>
      <w:sz w:val="18"/>
      <w:szCs w:val="18"/>
    </w:rPr>
  </w:style>
  <w:style w:type="paragraph" w:styleId="a4">
    <w:name w:val="footer"/>
    <w:basedOn w:val="a"/>
    <w:link w:val="Char0"/>
    <w:rsid w:val="00A2297F"/>
    <w:pPr>
      <w:tabs>
        <w:tab w:val="center" w:pos="4153"/>
        <w:tab w:val="right" w:pos="8306"/>
      </w:tabs>
      <w:snapToGrid w:val="0"/>
      <w:jc w:val="left"/>
    </w:pPr>
    <w:rPr>
      <w:sz w:val="18"/>
      <w:szCs w:val="18"/>
    </w:rPr>
  </w:style>
  <w:style w:type="character" w:customStyle="1" w:styleId="Char0">
    <w:name w:val="页脚 Char"/>
    <w:basedOn w:val="a0"/>
    <w:link w:val="a4"/>
    <w:rsid w:val="00A2297F"/>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3396</Characters>
  <Application>Microsoft Office Word</Application>
  <DocSecurity>0</DocSecurity>
  <Lines>28</Lines>
  <Paragraphs>7</Paragraphs>
  <ScaleCrop>false</ScaleCrop>
  <Company>Microsoft</Company>
  <LinksUpToDate>false</LinksUpToDate>
  <CharactersWithSpaces>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cp:lastPrinted>2019-09-15T13:25:00Z</cp:lastPrinted>
  <dcterms:created xsi:type="dcterms:W3CDTF">2021-10-05T10:47:00Z</dcterms:created>
  <dcterms:modified xsi:type="dcterms:W3CDTF">2021-10-05T10:47:00Z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