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99" w:rsidRPr="0036786D" w:rsidRDefault="00407770">
      <w:pPr>
        <w:spacing w:after="0" w:line="360" w:lineRule="auto"/>
        <w:jc w:val="center"/>
        <w:rPr>
          <w:rFonts w:ascii="宋体" w:eastAsia="宋体" w:hAnsi="宋体" w:cs="宋体"/>
          <w:b/>
          <w:bCs/>
          <w:color w:val="000000" w:themeColor="text1"/>
          <w:sz w:val="24"/>
          <w:szCs w:val="24"/>
        </w:rPr>
      </w:pPr>
      <w:commentRangeStart w:id="0"/>
      <w:r w:rsidRPr="0036786D">
        <w:rPr>
          <w:rFonts w:ascii="宋体" w:eastAsia="宋体" w:hAnsi="宋体" w:cs="宋体" w:hint="eastAsia"/>
          <w:b/>
          <w:bCs/>
          <w:color w:val="000000" w:themeColor="text1"/>
          <w:sz w:val="24"/>
          <w:szCs w:val="24"/>
        </w:rPr>
        <w:t>试论课外学术成果在高考历史试题中的渗透</w:t>
      </w:r>
      <w:commentRangeEnd w:id="0"/>
      <w:r w:rsidRPr="0036786D">
        <w:rPr>
          <w:color w:val="000000" w:themeColor="text1"/>
        </w:rPr>
        <w:commentReference w:id="0"/>
      </w:r>
      <w:r w:rsidR="00352A6A" w:rsidRPr="0036786D">
        <w:rPr>
          <w:rFonts w:ascii="宋体" w:eastAsia="宋体" w:hAnsi="宋体" w:cs="宋体" w:hint="eastAsia"/>
          <w:b/>
          <w:bCs/>
          <w:color w:val="000000" w:themeColor="text1"/>
          <w:sz w:val="24"/>
          <w:szCs w:val="24"/>
        </w:rPr>
        <w:t>及备考策略</w:t>
      </w:r>
    </w:p>
    <w:p w:rsidR="00300F99" w:rsidRPr="0036786D" w:rsidRDefault="00407770">
      <w:pPr>
        <w:spacing w:after="0" w:line="360" w:lineRule="auto"/>
        <w:jc w:val="center"/>
        <w:rPr>
          <w:rFonts w:ascii="宋体" w:eastAsia="宋体" w:hAnsi="宋体" w:cs="宋体"/>
          <w:b/>
          <w:bCs/>
          <w:color w:val="000000" w:themeColor="text1"/>
          <w:sz w:val="24"/>
          <w:szCs w:val="24"/>
        </w:rPr>
      </w:pPr>
      <w:r w:rsidRPr="0036786D">
        <w:rPr>
          <w:rFonts w:ascii="宋体" w:eastAsia="宋体" w:hAnsi="宋体" w:cs="宋体" w:hint="eastAsia"/>
          <w:b/>
          <w:bCs/>
          <w:color w:val="000000" w:themeColor="text1"/>
          <w:sz w:val="24"/>
          <w:szCs w:val="24"/>
        </w:rPr>
        <w:t>——基于2013—2020年全国卷的分析</w:t>
      </w:r>
    </w:p>
    <w:p w:rsidR="00300F99" w:rsidRPr="0036786D" w:rsidRDefault="00407770">
      <w:pPr>
        <w:spacing w:after="0" w:line="360" w:lineRule="auto"/>
        <w:jc w:val="center"/>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福建  林义元</w:t>
      </w:r>
    </w:p>
    <w:p w:rsidR="00300F99" w:rsidRPr="0036786D" w:rsidRDefault="00556D0E">
      <w:pPr>
        <w:spacing w:after="0" w:line="360" w:lineRule="auto"/>
        <w:ind w:firstLineChars="200" w:firstLine="420"/>
        <w:jc w:val="both"/>
        <w:rPr>
          <w:rFonts w:ascii="宋体" w:eastAsia="宋体" w:hAnsi="宋体" w:cs="宋体"/>
          <w:color w:val="000000" w:themeColor="text1"/>
          <w:sz w:val="21"/>
          <w:szCs w:val="21"/>
        </w:rPr>
      </w:pPr>
      <w:r w:rsidRPr="0036786D">
        <w:rPr>
          <w:rFonts w:asciiTheme="minorEastAsia" w:eastAsiaTheme="minorEastAsia" w:hAnsiTheme="minorEastAsia" w:hint="eastAsia"/>
          <w:color w:val="000000" w:themeColor="text1"/>
          <w:sz w:val="21"/>
          <w:szCs w:val="21"/>
        </w:rPr>
        <w:t>华南师范大学</w:t>
      </w:r>
      <w:r w:rsidR="00352A6A" w:rsidRPr="0036786D">
        <w:rPr>
          <w:rFonts w:asciiTheme="minorEastAsia" w:eastAsiaTheme="minorEastAsia" w:hAnsiTheme="minorEastAsia" w:hint="eastAsia"/>
          <w:color w:val="000000" w:themeColor="text1"/>
          <w:sz w:val="21"/>
          <w:szCs w:val="21"/>
        </w:rPr>
        <w:t>黄牧航教授曾著文探讨学术研究与高考命题的关系，角度新颖，启迪深刻。</w:t>
      </w:r>
      <w:r w:rsidR="00352A6A" w:rsidRPr="0036786D">
        <w:rPr>
          <w:rStyle w:val="a7"/>
          <w:color w:val="000000" w:themeColor="text1"/>
          <w:sz w:val="21"/>
          <w:szCs w:val="21"/>
        </w:rPr>
        <w:sym w:font="Symbol" w:char="F05B"/>
      </w:r>
      <w:r w:rsidR="00352A6A" w:rsidRPr="0036786D">
        <w:rPr>
          <w:rStyle w:val="a7"/>
          <w:rFonts w:hint="eastAsia"/>
          <w:color w:val="000000" w:themeColor="text1"/>
          <w:sz w:val="21"/>
          <w:szCs w:val="21"/>
        </w:rPr>
        <w:t>1</w:t>
      </w:r>
      <w:r w:rsidR="00352A6A" w:rsidRPr="0036786D">
        <w:rPr>
          <w:rStyle w:val="a7"/>
          <w:color w:val="000000" w:themeColor="text1"/>
          <w:sz w:val="21"/>
          <w:szCs w:val="21"/>
        </w:rPr>
        <w:sym w:font="Symbol" w:char="F05D"/>
      </w:r>
      <w:r w:rsidR="00407770" w:rsidRPr="0036786D">
        <w:rPr>
          <w:rFonts w:ascii="宋体" w:eastAsia="宋体" w:hAnsi="宋体" w:cs="宋体" w:hint="eastAsia"/>
          <w:color w:val="000000" w:themeColor="text1"/>
          <w:sz w:val="21"/>
          <w:szCs w:val="21"/>
        </w:rPr>
        <w:t>2013年以来的全国卷，也具有浓厚的学术味道。而随着高考改革的深入，</w:t>
      </w:r>
      <w:r w:rsidR="00117587" w:rsidRPr="0036786D">
        <w:rPr>
          <w:rFonts w:ascii="宋体" w:eastAsia="宋体" w:hAnsi="宋体" w:cs="宋体" w:hint="eastAsia"/>
          <w:color w:val="000000" w:themeColor="text1"/>
          <w:sz w:val="21"/>
          <w:szCs w:val="21"/>
        </w:rPr>
        <w:t>2021年</w:t>
      </w:r>
      <w:r w:rsidR="00407770" w:rsidRPr="0036786D">
        <w:rPr>
          <w:rFonts w:ascii="宋体" w:eastAsia="宋体" w:hAnsi="宋体" w:cs="宋体" w:hint="eastAsia"/>
          <w:color w:val="000000" w:themeColor="text1"/>
          <w:sz w:val="21"/>
          <w:szCs w:val="21"/>
        </w:rPr>
        <w:t>诸多省份高考历史命题即将告别全国卷，进行自主</w:t>
      </w:r>
      <w:bookmarkStart w:id="1" w:name="_GoBack"/>
      <w:bookmarkEnd w:id="1"/>
      <w:r w:rsidR="007D7A20" w:rsidRPr="0036786D">
        <w:rPr>
          <w:rFonts w:ascii="宋体" w:eastAsia="宋体" w:hAnsi="宋体" w:cs="宋体" w:hint="eastAsia"/>
          <w:color w:val="000000" w:themeColor="text1"/>
          <w:sz w:val="21"/>
          <w:szCs w:val="21"/>
        </w:rPr>
        <w:t>命题。在这种辞旧迎新的背景下，探讨、总结曾经的</w:t>
      </w:r>
      <w:r w:rsidR="00407770" w:rsidRPr="0036786D">
        <w:rPr>
          <w:rFonts w:ascii="宋体" w:eastAsia="宋体" w:hAnsi="宋体" w:cs="宋体" w:hint="eastAsia"/>
          <w:color w:val="000000" w:themeColor="text1"/>
          <w:sz w:val="21"/>
          <w:szCs w:val="21"/>
        </w:rPr>
        <w:t>全国卷命题特征，对未来的历史新高考大有裨益。有鉴于此，笔者沿着黄牧航教授的思路，尝试着分析2013年以来课外学术成果在全国卷中的渗透，</w:t>
      </w:r>
      <w:r w:rsidR="004659D5" w:rsidRPr="0036786D">
        <w:rPr>
          <w:rFonts w:ascii="宋体" w:eastAsia="宋体" w:hAnsi="宋体" w:cs="宋体" w:hint="eastAsia"/>
          <w:color w:val="000000" w:themeColor="text1"/>
          <w:sz w:val="21"/>
          <w:szCs w:val="21"/>
        </w:rPr>
        <w:t>探索相应的备考策略，以</w:t>
      </w:r>
      <w:r w:rsidR="00407770" w:rsidRPr="0036786D">
        <w:rPr>
          <w:rFonts w:ascii="宋体" w:eastAsia="宋体" w:hAnsi="宋体" w:cs="宋体" w:hint="eastAsia"/>
          <w:color w:val="000000" w:themeColor="text1"/>
          <w:sz w:val="21"/>
          <w:szCs w:val="21"/>
        </w:rPr>
        <w:t>抛砖引玉，</w:t>
      </w:r>
      <w:r w:rsidR="00CF2DA0" w:rsidRPr="0036786D">
        <w:rPr>
          <w:rFonts w:ascii="宋体" w:eastAsia="宋体" w:hAnsi="宋体" w:cs="宋体" w:hint="eastAsia"/>
          <w:color w:val="000000" w:themeColor="text1"/>
          <w:sz w:val="21"/>
          <w:szCs w:val="21"/>
        </w:rPr>
        <w:t>求教于方家</w:t>
      </w:r>
      <w:r w:rsidR="00407770" w:rsidRPr="0036786D">
        <w:rPr>
          <w:rFonts w:ascii="宋体" w:eastAsia="宋体" w:hAnsi="宋体" w:cs="宋体" w:hint="eastAsia"/>
          <w:color w:val="000000" w:themeColor="text1"/>
          <w:sz w:val="21"/>
          <w:szCs w:val="21"/>
        </w:rPr>
        <w:t>。</w:t>
      </w:r>
    </w:p>
    <w:p w:rsidR="00985773" w:rsidRPr="0036786D" w:rsidRDefault="00985773" w:rsidP="00985773">
      <w:pPr>
        <w:spacing w:after="0" w:line="360" w:lineRule="auto"/>
        <w:ind w:firstLineChars="200" w:firstLine="422"/>
        <w:jc w:val="both"/>
        <w:rPr>
          <w:rFonts w:ascii="宋体" w:eastAsia="宋体" w:hAnsi="宋体" w:cs="宋体"/>
          <w:b/>
          <w:bCs/>
          <w:color w:val="000000" w:themeColor="text1"/>
          <w:sz w:val="21"/>
          <w:szCs w:val="21"/>
        </w:rPr>
      </w:pPr>
      <w:r w:rsidRPr="0036786D">
        <w:rPr>
          <w:rFonts w:ascii="宋体" w:eastAsia="宋体" w:hAnsi="宋体" w:cs="宋体" w:hint="eastAsia"/>
          <w:b/>
          <w:bCs/>
          <w:color w:val="000000" w:themeColor="text1"/>
          <w:sz w:val="21"/>
          <w:szCs w:val="21"/>
        </w:rPr>
        <w:t>一、课外学术成果在近几年全国卷中的渗透情况分析</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所谓的“课外学术成果”是指“超出现行中学历史课程内容要求、中学师生较陌生的学术研究成果。”</w:t>
      </w:r>
      <w:r w:rsidRPr="0036786D">
        <w:rPr>
          <w:rStyle w:val="a7"/>
          <w:rFonts w:ascii="宋体" w:eastAsia="宋体" w:hAnsi="宋体" w:cs="宋体" w:hint="eastAsia"/>
          <w:color w:val="000000" w:themeColor="text1"/>
          <w:sz w:val="21"/>
          <w:szCs w:val="21"/>
        </w:rPr>
        <w:sym w:font="Symbol" w:char="F05B"/>
      </w:r>
      <w:r w:rsidR="007D7A20" w:rsidRPr="0036786D">
        <w:rPr>
          <w:rStyle w:val="a7"/>
          <w:rFonts w:ascii="宋体" w:eastAsia="宋体" w:hAnsi="宋体" w:cs="宋体" w:hint="eastAsia"/>
          <w:color w:val="000000" w:themeColor="text1"/>
          <w:sz w:val="21"/>
          <w:szCs w:val="21"/>
        </w:rPr>
        <w:t>2</w:t>
      </w:r>
      <w:r w:rsidRPr="0036786D">
        <w:rPr>
          <w:rStyle w:val="a7"/>
          <w:rFonts w:ascii="宋体" w:eastAsia="宋体" w:hAnsi="宋体" w:cs="宋体" w:hint="eastAsia"/>
          <w:color w:val="000000" w:themeColor="text1"/>
          <w:sz w:val="21"/>
          <w:szCs w:val="21"/>
        </w:rPr>
        <w:sym w:font="Symbol" w:char="F05D"/>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在近几年全国卷中，课外学术成果的渗透依然是很常见的做法。据笔者初步统计，2013—2020年全国卷较为明显地引用课外学术成果共计133项，详情参见下表：</w:t>
      </w:r>
    </w:p>
    <w:p w:rsidR="00300F99" w:rsidRPr="0036786D" w:rsidRDefault="00407770">
      <w:pPr>
        <w:spacing w:after="0" w:line="360" w:lineRule="auto"/>
        <w:jc w:val="center"/>
        <w:rPr>
          <w:rFonts w:ascii="黑体" w:eastAsia="黑体" w:hAnsi="黑体" w:cs="黑体"/>
          <w:color w:val="000000" w:themeColor="text1"/>
          <w:sz w:val="21"/>
          <w:szCs w:val="21"/>
        </w:rPr>
      </w:pPr>
      <w:r w:rsidRPr="0036786D">
        <w:rPr>
          <w:rFonts w:ascii="黑体" w:eastAsia="黑体" w:hAnsi="黑体" w:cs="黑体" w:hint="eastAsia"/>
          <w:color w:val="000000" w:themeColor="text1"/>
          <w:sz w:val="21"/>
          <w:szCs w:val="21"/>
        </w:rPr>
        <w:t>表1  2013—2020年全国卷明显引用课外学术成果统计表</w:t>
      </w:r>
    </w:p>
    <w:tbl>
      <w:tblPr>
        <w:tblStyle w:val="a6"/>
        <w:tblW w:w="0" w:type="auto"/>
        <w:tblLook w:val="04A0"/>
      </w:tblPr>
      <w:tblGrid>
        <w:gridCol w:w="2130"/>
        <w:gridCol w:w="2130"/>
        <w:gridCol w:w="2131"/>
        <w:gridCol w:w="2131"/>
      </w:tblGrid>
      <w:tr w:rsidR="00300F99" w:rsidRPr="0036786D">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年份</w:t>
            </w:r>
          </w:p>
        </w:tc>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全国卷Ⅰ</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全国卷Ⅱ</w:t>
            </w:r>
          </w:p>
        </w:tc>
        <w:tc>
          <w:tcPr>
            <w:tcW w:w="2131" w:type="dxa"/>
            <w:tcBorders>
              <w:bottom w:val="single" w:sz="4" w:space="0" w:color="auto"/>
            </w:tcBorders>
            <w:vAlign w:val="bottom"/>
          </w:tcPr>
          <w:p w:rsidR="00300F99" w:rsidRPr="0036786D" w:rsidRDefault="00407770">
            <w:pPr>
              <w:spacing w:after="0" w:line="360" w:lineRule="auto"/>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全国卷Ⅲ</w:t>
            </w:r>
          </w:p>
        </w:tc>
      </w:tr>
      <w:tr w:rsidR="00300F99" w:rsidRPr="0036786D">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2013</w:t>
            </w:r>
          </w:p>
        </w:tc>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11</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12</w:t>
            </w:r>
          </w:p>
        </w:tc>
        <w:tc>
          <w:tcPr>
            <w:tcW w:w="2131" w:type="dxa"/>
            <w:tcBorders>
              <w:bottom w:val="single" w:sz="4" w:space="0" w:color="auto"/>
              <w:tl2br w:val="single" w:sz="4" w:space="0" w:color="auto"/>
            </w:tcBorders>
          </w:tcPr>
          <w:p w:rsidR="00300F99" w:rsidRPr="0036786D" w:rsidRDefault="00300F99">
            <w:pPr>
              <w:spacing w:after="0" w:line="360" w:lineRule="auto"/>
              <w:jc w:val="both"/>
              <w:rPr>
                <w:rFonts w:ascii="楷体" w:eastAsia="楷体" w:hAnsi="楷体" w:cs="宋体"/>
                <w:color w:val="000000" w:themeColor="text1"/>
                <w:sz w:val="21"/>
                <w:szCs w:val="21"/>
              </w:rPr>
            </w:pPr>
          </w:p>
        </w:tc>
      </w:tr>
      <w:tr w:rsidR="00300F99" w:rsidRPr="0036786D">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2014</w:t>
            </w:r>
          </w:p>
        </w:tc>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10</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9</w:t>
            </w:r>
          </w:p>
        </w:tc>
        <w:tc>
          <w:tcPr>
            <w:tcW w:w="2131" w:type="dxa"/>
            <w:tcBorders>
              <w:bottom w:val="single" w:sz="4" w:space="0" w:color="auto"/>
              <w:tl2br w:val="single" w:sz="4" w:space="0" w:color="auto"/>
            </w:tcBorders>
          </w:tcPr>
          <w:p w:rsidR="00300F99" w:rsidRPr="0036786D" w:rsidRDefault="00300F99">
            <w:pPr>
              <w:spacing w:after="0" w:line="360" w:lineRule="auto"/>
              <w:jc w:val="both"/>
              <w:rPr>
                <w:rFonts w:ascii="楷体" w:eastAsia="楷体" w:hAnsi="楷体" w:cs="宋体"/>
                <w:color w:val="000000" w:themeColor="text1"/>
                <w:sz w:val="21"/>
                <w:szCs w:val="21"/>
              </w:rPr>
            </w:pPr>
          </w:p>
        </w:tc>
      </w:tr>
      <w:tr w:rsidR="00300F99" w:rsidRPr="0036786D">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2015</w:t>
            </w:r>
          </w:p>
        </w:tc>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4</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3</w:t>
            </w:r>
          </w:p>
        </w:tc>
        <w:tc>
          <w:tcPr>
            <w:tcW w:w="2131" w:type="dxa"/>
            <w:tcBorders>
              <w:tl2br w:val="single" w:sz="4" w:space="0" w:color="auto"/>
            </w:tcBorders>
          </w:tcPr>
          <w:p w:rsidR="00300F99" w:rsidRPr="0036786D" w:rsidRDefault="00300F99">
            <w:pPr>
              <w:spacing w:after="0" w:line="360" w:lineRule="auto"/>
              <w:jc w:val="both"/>
              <w:rPr>
                <w:rFonts w:ascii="楷体" w:eastAsia="楷体" w:hAnsi="楷体" w:cs="宋体"/>
                <w:color w:val="000000" w:themeColor="text1"/>
                <w:sz w:val="21"/>
                <w:szCs w:val="21"/>
              </w:rPr>
            </w:pPr>
          </w:p>
        </w:tc>
      </w:tr>
      <w:tr w:rsidR="00300F99" w:rsidRPr="0036786D">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2016</w:t>
            </w:r>
          </w:p>
        </w:tc>
        <w:tc>
          <w:tcPr>
            <w:tcW w:w="2130" w:type="dxa"/>
          </w:tcPr>
          <w:p w:rsidR="00300F99" w:rsidRPr="0036786D" w:rsidRDefault="00407770">
            <w:pPr>
              <w:spacing w:after="0" w:line="360" w:lineRule="auto"/>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5</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5</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6</w:t>
            </w:r>
          </w:p>
        </w:tc>
      </w:tr>
      <w:tr w:rsidR="00300F99" w:rsidRPr="0036786D">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2017</w:t>
            </w:r>
          </w:p>
        </w:tc>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4</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7</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4</w:t>
            </w:r>
          </w:p>
        </w:tc>
      </w:tr>
      <w:tr w:rsidR="00300F99" w:rsidRPr="0036786D">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2018</w:t>
            </w:r>
          </w:p>
        </w:tc>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6</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5</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6</w:t>
            </w:r>
          </w:p>
        </w:tc>
      </w:tr>
      <w:tr w:rsidR="00300F99" w:rsidRPr="0036786D">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2019</w:t>
            </w:r>
          </w:p>
        </w:tc>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8</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7</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5</w:t>
            </w:r>
          </w:p>
        </w:tc>
      </w:tr>
      <w:tr w:rsidR="00300F99" w:rsidRPr="0036786D">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2020</w:t>
            </w:r>
          </w:p>
        </w:tc>
        <w:tc>
          <w:tcPr>
            <w:tcW w:w="2130"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6</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6</w:t>
            </w:r>
          </w:p>
        </w:tc>
        <w:tc>
          <w:tcPr>
            <w:tcW w:w="2131"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4</w:t>
            </w:r>
          </w:p>
        </w:tc>
      </w:tr>
    </w:tbl>
    <w:p w:rsidR="00985773" w:rsidRPr="0036786D" w:rsidRDefault="00985773" w:rsidP="00985773">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对于这份统计表，我们可以从多个角度进行分析。</w:t>
      </w:r>
    </w:p>
    <w:p w:rsidR="00985773" w:rsidRPr="0036786D" w:rsidRDefault="00985773" w:rsidP="00985773">
      <w:pPr>
        <w:spacing w:after="0" w:line="360" w:lineRule="auto"/>
        <w:ind w:firstLineChars="200" w:firstLine="422"/>
        <w:jc w:val="both"/>
        <w:rPr>
          <w:rFonts w:ascii="宋体" w:eastAsia="宋体" w:hAnsi="宋体" w:cs="宋体"/>
          <w:b/>
          <w:bCs/>
          <w:color w:val="000000" w:themeColor="text1"/>
          <w:sz w:val="21"/>
          <w:szCs w:val="21"/>
        </w:rPr>
      </w:pPr>
      <w:r w:rsidRPr="0036786D">
        <w:rPr>
          <w:rFonts w:ascii="宋体" w:eastAsia="宋体" w:hAnsi="宋体" w:cs="宋体" w:hint="eastAsia"/>
          <w:b/>
          <w:bCs/>
          <w:color w:val="000000" w:themeColor="text1"/>
          <w:sz w:val="21"/>
          <w:szCs w:val="21"/>
        </w:rPr>
        <w:t>（一）引用课外学术成果的数量变化趋势分析</w:t>
      </w:r>
    </w:p>
    <w:p w:rsidR="007D7A20" w:rsidRPr="0036786D" w:rsidRDefault="00407770" w:rsidP="005B0AFA">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从表1中可知，在2013年与2014年的全国卷中，引用课外学术成果的力度很大，平均1份卷子引用达10.5项，而且差别不大，最少的2014年全国卷Ⅱ引用课外学术成果也达到了9项。2015年以后，趋势有所减弱，平均一份卷子引用5.35项。这反映出命题者也在反思高考历史</w:t>
      </w:r>
      <w:r w:rsidR="00B737C9" w:rsidRPr="0036786D">
        <w:rPr>
          <w:rFonts w:ascii="宋体" w:eastAsia="宋体" w:hAnsi="宋体" w:cs="宋体" w:hint="eastAsia"/>
          <w:color w:val="000000" w:themeColor="text1"/>
          <w:sz w:val="21"/>
          <w:szCs w:val="21"/>
        </w:rPr>
        <w:t>试题专业化倾向的得失，试图将引用课外学术成果调整到一个恰当的尺度</w:t>
      </w:r>
      <w:r w:rsidRPr="0036786D">
        <w:rPr>
          <w:rFonts w:ascii="宋体" w:eastAsia="宋体" w:hAnsi="宋体" w:cs="宋体" w:hint="eastAsia"/>
          <w:color w:val="000000" w:themeColor="text1"/>
          <w:sz w:val="21"/>
          <w:szCs w:val="21"/>
        </w:rPr>
        <w:t>。但从2015年以来引用的数量基本保持在5项左右这一点看，在高考历史试题中渗透课外学术成果的做法已经成为较为成熟的常态。</w:t>
      </w:r>
    </w:p>
    <w:p w:rsidR="00300F99" w:rsidRPr="0036786D" w:rsidRDefault="00407770" w:rsidP="00631EF4">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lastRenderedPageBreak/>
        <w:t>结合</w:t>
      </w:r>
      <w:r w:rsidR="00A53149" w:rsidRPr="0036786D">
        <w:rPr>
          <w:rFonts w:ascii="宋体" w:eastAsia="宋体" w:hAnsi="宋体" w:cs="宋体" w:hint="eastAsia"/>
          <w:color w:val="000000" w:themeColor="text1"/>
          <w:sz w:val="21"/>
          <w:szCs w:val="21"/>
        </w:rPr>
        <w:t>题型</w:t>
      </w:r>
      <w:r w:rsidRPr="0036786D">
        <w:rPr>
          <w:rFonts w:ascii="宋体" w:eastAsia="宋体" w:hAnsi="宋体" w:cs="宋体" w:hint="eastAsia"/>
          <w:color w:val="000000" w:themeColor="text1"/>
          <w:sz w:val="21"/>
          <w:szCs w:val="21"/>
        </w:rPr>
        <w:t>分析，我们发现2015年来的全国卷主观题其实变化不大，依然是以课外学术论著作为主要资料来源。卷面上引用课外学术成果的减少，主要是由于选择题中更多地依据原始史料或直白明了的历史叙述来命题，很少再出现“有学者</w:t>
      </w:r>
      <w:r w:rsidR="004357F8" w:rsidRPr="0036786D">
        <w:rPr>
          <w:rFonts w:ascii="宋体" w:eastAsia="宋体" w:hAnsi="宋体" w:cs="宋体" w:hint="eastAsia"/>
          <w:color w:val="000000" w:themeColor="text1"/>
          <w:sz w:val="21"/>
          <w:szCs w:val="21"/>
        </w:rPr>
        <w:t>说……”、“据研究……”这类直接以学者的学术见解作为题干主体的</w:t>
      </w:r>
      <w:r w:rsidRPr="0036786D">
        <w:rPr>
          <w:rFonts w:ascii="宋体" w:eastAsia="宋体" w:hAnsi="宋体" w:cs="宋体" w:hint="eastAsia"/>
          <w:color w:val="000000" w:themeColor="text1"/>
          <w:sz w:val="21"/>
          <w:szCs w:val="21"/>
        </w:rPr>
        <w:t>题目。学生在中学阶段由于不可能接受历史学专业的学术训练，常常不能准确理解学者高度学术化的表达。这类题目的减少可谓学生的福音，也是近几年全国卷难度有所降低的一个重要原因。但是学者的学术见解会悄然地渗透于选择题的选项之中，又因为太简练，我们查不到出处，没有纳入试题引用课外学术成果的统计。例如：</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例1.</w:t>
      </w:r>
      <w:commentRangeStart w:id="2"/>
      <w:r w:rsidRPr="0036786D">
        <w:rPr>
          <w:rFonts w:ascii="宋体" w:eastAsia="宋体" w:hAnsi="宋体" w:cs="宋体" w:hint="eastAsia"/>
          <w:color w:val="000000" w:themeColor="text1"/>
          <w:sz w:val="21"/>
          <w:szCs w:val="21"/>
        </w:rPr>
        <w:t>（2019·全国卷Ⅰ•26）</w:t>
      </w:r>
      <w:commentRangeEnd w:id="2"/>
      <w:r w:rsidRPr="0036786D">
        <w:rPr>
          <w:color w:val="000000" w:themeColor="text1"/>
        </w:rPr>
        <w:commentReference w:id="2"/>
      </w:r>
      <w:r w:rsidRPr="0036786D">
        <w:rPr>
          <w:rFonts w:ascii="宋体" w:eastAsia="宋体" w:hAnsi="宋体" w:cs="宋体" w:hint="eastAsia"/>
          <w:color w:val="000000" w:themeColor="text1"/>
          <w:sz w:val="21"/>
          <w:szCs w:val="21"/>
        </w:rPr>
        <w:t>唐代之前，荆楚民间存在一种祈求丰收的“牵钩之戏”，至唐代称作“拔河”，广为流传。唐玄宗《观拔河俗戏》诗云：“壮徒恒贾勇，拔拒抵长河。欲练英雄志，须明胜负多……预期年岁稔，先此乐时和。”据此可知，在唐代（</w:t>
      </w:r>
      <w:r w:rsidR="00AA3952" w:rsidRPr="0036786D">
        <w:rPr>
          <w:rFonts w:ascii="宋体" w:eastAsia="宋体" w:hAnsi="宋体" w:cs="宋体" w:hint="eastAsia"/>
          <w:color w:val="000000" w:themeColor="text1"/>
          <w:sz w:val="21"/>
          <w:szCs w:val="21"/>
        </w:rPr>
        <w:t xml:space="preserve">  </w:t>
      </w:r>
      <w:r w:rsidRPr="0036786D">
        <w:rPr>
          <w:rFonts w:ascii="宋体" w:eastAsia="宋体" w:hAnsi="宋体" w:cs="宋体" w:hint="eastAsia"/>
          <w:color w:val="000000" w:themeColor="text1"/>
          <w:sz w:val="21"/>
          <w:szCs w:val="21"/>
        </w:rPr>
        <w:t>）</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A. 江南文化成为主流      B. 耕战结合观念深入人心</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C. 阳刚与力量受到推崇    D. 诗歌以描写宫廷生活为主</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很多同学对于“耕战结合”可谓绞尽脑汁而不得其解。对于这类题目，学生经常是看懂了题干，却没能准确辨析用学术语言包装的选项，导致出错。因此，平常依然不能放松对学术化语言的理解训练。</w:t>
      </w:r>
    </w:p>
    <w:p w:rsidR="00985773" w:rsidRPr="0036786D" w:rsidRDefault="00985773" w:rsidP="00985773">
      <w:pPr>
        <w:spacing w:after="0" w:line="360" w:lineRule="auto"/>
        <w:ind w:firstLineChars="200" w:firstLine="422"/>
        <w:jc w:val="both"/>
        <w:rPr>
          <w:rFonts w:ascii="宋体" w:eastAsia="宋体" w:hAnsi="宋体" w:cs="宋体"/>
          <w:b/>
          <w:bCs/>
          <w:color w:val="000000" w:themeColor="text1"/>
          <w:sz w:val="21"/>
          <w:szCs w:val="21"/>
        </w:rPr>
      </w:pPr>
      <w:r w:rsidRPr="0036786D">
        <w:rPr>
          <w:rFonts w:ascii="宋体" w:eastAsia="宋体" w:hAnsi="宋体" w:cs="宋体" w:hint="eastAsia"/>
          <w:b/>
          <w:bCs/>
          <w:color w:val="000000" w:themeColor="text1"/>
          <w:sz w:val="21"/>
          <w:szCs w:val="21"/>
        </w:rPr>
        <w:t>（二）课外学术成果进入试题的途径分析</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黄牧航把学术成果进入试题的途径归纳为五种类型。</w:t>
      </w:r>
      <w:r w:rsidRPr="0036786D">
        <w:rPr>
          <w:rStyle w:val="a7"/>
          <w:rFonts w:ascii="宋体" w:eastAsia="宋体" w:hAnsi="宋体" w:cs="宋体" w:hint="eastAsia"/>
          <w:color w:val="000000" w:themeColor="text1"/>
          <w:sz w:val="21"/>
          <w:szCs w:val="21"/>
        </w:rPr>
        <w:sym w:font="Symbol" w:char="F05B"/>
      </w:r>
      <w:r w:rsidR="00765527" w:rsidRPr="0036786D">
        <w:rPr>
          <w:rStyle w:val="a7"/>
          <w:rFonts w:ascii="宋体" w:eastAsia="宋体" w:hAnsi="宋体" w:cs="宋体" w:hint="eastAsia"/>
          <w:color w:val="000000" w:themeColor="text1"/>
          <w:sz w:val="21"/>
          <w:szCs w:val="21"/>
        </w:rPr>
        <w:t>3</w:t>
      </w:r>
      <w:r w:rsidRPr="0036786D">
        <w:rPr>
          <w:rStyle w:val="a7"/>
          <w:rFonts w:ascii="宋体" w:eastAsia="宋体" w:hAnsi="宋体" w:cs="宋体" w:hint="eastAsia"/>
          <w:color w:val="000000" w:themeColor="text1"/>
          <w:sz w:val="21"/>
          <w:szCs w:val="21"/>
        </w:rPr>
        <w:sym w:font="Symbol" w:char="F05D"/>
      </w:r>
      <w:r w:rsidRPr="0036786D">
        <w:rPr>
          <w:rFonts w:ascii="宋体" w:eastAsia="宋体" w:hAnsi="宋体" w:cs="宋体" w:hint="eastAsia"/>
          <w:color w:val="000000" w:themeColor="text1"/>
          <w:sz w:val="21"/>
          <w:szCs w:val="21"/>
        </w:rPr>
        <w:t>2013—2020年全国卷中学术成果的渗透大体上延续了这五种类型。</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1.</w:t>
      </w:r>
      <w:r w:rsidR="00BC4A60" w:rsidRPr="0036786D">
        <w:rPr>
          <w:rFonts w:ascii="宋体" w:eastAsia="宋体" w:hAnsi="宋体" w:cs="宋体" w:hint="eastAsia"/>
          <w:color w:val="000000" w:themeColor="text1"/>
          <w:sz w:val="21"/>
          <w:szCs w:val="21"/>
        </w:rPr>
        <w:t>借助学术成果考查学生对历史事物的理解</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例如，2020年全国卷Ⅲ第41题，选择从白寿彝总主编的《中国通史》中摘编相关文字而不是引用古代文献介绍西周时期的都城，极大地消除了学生的阅读障碍。这种类型的渗透是最常见的。</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2.借助学术成果介绍教科书没关注的历史细节或提出教科书没有涉及甚至与教科书不同的观点</w:t>
      </w:r>
    </w:p>
    <w:p w:rsidR="00631EF4" w:rsidRPr="0036786D" w:rsidRDefault="0035613E" w:rsidP="00631EF4">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例2.（20</w:t>
      </w:r>
      <w:r w:rsidR="00631EF4" w:rsidRPr="0036786D">
        <w:rPr>
          <w:rFonts w:ascii="宋体" w:eastAsia="宋体" w:hAnsi="宋体" w:cs="宋体" w:hint="eastAsia"/>
          <w:color w:val="000000" w:themeColor="text1"/>
          <w:sz w:val="21"/>
          <w:szCs w:val="21"/>
        </w:rPr>
        <w:t>20</w:t>
      </w:r>
      <w:r w:rsidRPr="0036786D">
        <w:rPr>
          <w:rFonts w:ascii="宋体" w:eastAsia="宋体" w:hAnsi="宋体" w:cs="宋体" w:hint="eastAsia"/>
          <w:color w:val="000000" w:themeColor="text1"/>
          <w:sz w:val="21"/>
          <w:szCs w:val="21"/>
        </w:rPr>
        <w:t>·全国卷</w:t>
      </w:r>
      <w:r w:rsidR="00631EF4" w:rsidRPr="0036786D">
        <w:rPr>
          <w:rFonts w:ascii="宋体" w:eastAsia="宋体" w:hAnsi="宋体" w:cs="宋体" w:hint="eastAsia"/>
          <w:color w:val="000000" w:themeColor="text1"/>
          <w:sz w:val="21"/>
          <w:szCs w:val="21"/>
        </w:rPr>
        <w:t>Ⅲ</w:t>
      </w:r>
      <w:r w:rsidRPr="0036786D">
        <w:rPr>
          <w:rFonts w:ascii="宋体" w:eastAsia="宋体" w:hAnsi="宋体" w:cs="宋体" w:hint="eastAsia"/>
          <w:color w:val="000000" w:themeColor="text1"/>
          <w:sz w:val="21"/>
          <w:szCs w:val="21"/>
        </w:rPr>
        <w:t>·29）</w:t>
      </w:r>
      <w:r w:rsidR="00631EF4" w:rsidRPr="0036786D">
        <w:rPr>
          <w:rFonts w:ascii="宋体" w:eastAsia="宋体" w:hAnsi="宋体" w:cs="宋体" w:hint="eastAsia"/>
          <w:color w:val="000000" w:themeColor="text1"/>
          <w:sz w:val="21"/>
          <w:szCs w:val="21"/>
        </w:rPr>
        <w:t xml:space="preserve">清帝退位诏书稿由南京临时政府拟订，袁世凯收到后擅自在诏书稿上加入“由袁世凯以全权组织临时共和政府”等内容发表。孙中山表示反对，致电袁世凯强调：“共和政府不能由清帝委任组织。”他们分歧的实质体现在 </w:t>
      </w:r>
    </w:p>
    <w:p w:rsidR="00631EF4" w:rsidRPr="0036786D" w:rsidRDefault="00631EF4" w:rsidP="00631EF4">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 xml:space="preserve">    A．是否赞同共和体制                 B．政府组建的主导权</w:t>
      </w:r>
    </w:p>
    <w:p w:rsidR="00631EF4" w:rsidRPr="0036786D" w:rsidRDefault="00631EF4" w:rsidP="00631EF4">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 xml:space="preserve">    C．是否进行社会革命                 D．临时大总统的人选</w:t>
      </w:r>
    </w:p>
    <w:p w:rsidR="00300F99" w:rsidRPr="0036786D" w:rsidRDefault="0035613E">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本题</w:t>
      </w:r>
      <w:r w:rsidR="00631EF4" w:rsidRPr="0036786D">
        <w:rPr>
          <w:rFonts w:ascii="宋体" w:eastAsia="宋体" w:hAnsi="宋体" w:cs="宋体" w:hint="eastAsia"/>
          <w:color w:val="000000" w:themeColor="text1"/>
          <w:sz w:val="21"/>
          <w:szCs w:val="21"/>
        </w:rPr>
        <w:t>涉及的“袁世凯篡改清帝退位诏书稿”一事，在胡绳的《从鸦片战争到五四运动》</w:t>
      </w:r>
      <w:r w:rsidR="001563A8" w:rsidRPr="0036786D">
        <w:rPr>
          <w:rFonts w:ascii="宋体" w:eastAsia="宋体" w:hAnsi="宋体" w:cs="宋体" w:hint="eastAsia"/>
          <w:color w:val="000000" w:themeColor="text1"/>
          <w:sz w:val="21"/>
          <w:szCs w:val="21"/>
        </w:rPr>
        <w:t>与唐德刚的《袁氏当国》等著作中有详细叙述，属于</w:t>
      </w:r>
      <w:r w:rsidRPr="0036786D">
        <w:rPr>
          <w:rFonts w:ascii="宋体" w:eastAsia="宋体" w:hAnsi="宋体" w:cs="宋体" w:hint="eastAsia"/>
          <w:color w:val="000000" w:themeColor="text1"/>
          <w:sz w:val="21"/>
          <w:szCs w:val="21"/>
        </w:rPr>
        <w:t>学者独具慧眼关注的课外</w:t>
      </w:r>
      <w:r w:rsidR="00407770" w:rsidRPr="0036786D">
        <w:rPr>
          <w:rFonts w:ascii="宋体" w:eastAsia="宋体" w:hAnsi="宋体" w:cs="宋体" w:hint="eastAsia"/>
          <w:color w:val="000000" w:themeColor="text1"/>
          <w:sz w:val="21"/>
          <w:szCs w:val="21"/>
        </w:rPr>
        <w:t>历史细节。</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例</w:t>
      </w:r>
      <w:r w:rsidR="0035613E" w:rsidRPr="0036786D">
        <w:rPr>
          <w:rFonts w:ascii="宋体" w:eastAsia="宋体" w:hAnsi="宋体" w:cs="宋体" w:hint="eastAsia"/>
          <w:color w:val="000000" w:themeColor="text1"/>
          <w:sz w:val="21"/>
          <w:szCs w:val="21"/>
        </w:rPr>
        <w:t>3</w:t>
      </w:r>
      <w:r w:rsidRPr="0036786D">
        <w:rPr>
          <w:rFonts w:ascii="宋体" w:eastAsia="宋体" w:hAnsi="宋体" w:cs="宋体" w:hint="eastAsia"/>
          <w:color w:val="000000" w:themeColor="text1"/>
          <w:sz w:val="21"/>
          <w:szCs w:val="21"/>
        </w:rPr>
        <w:t>.（2019·全国卷Ⅰ·33）有研究认为，美国独立后不到半个世纪，拉丁美洲经过独立战争，推翻了殖民统治，但拉美国家并没有像近邻美国那样独立后进入现代化的快车</w:t>
      </w:r>
      <w:r w:rsidRPr="0036786D">
        <w:rPr>
          <w:rFonts w:ascii="宋体" w:eastAsia="宋体" w:hAnsi="宋体" w:cs="宋体" w:hint="eastAsia"/>
          <w:color w:val="000000" w:themeColor="text1"/>
          <w:sz w:val="21"/>
          <w:szCs w:val="21"/>
        </w:rPr>
        <w:lastRenderedPageBreak/>
        <w:t>道，而是发展停滞，究其原因，殖民统治难辞其咎。“难辞其咎”主要是指殖民者在拉丁美洲（</w:t>
      </w:r>
      <w:r w:rsidR="00AA3952" w:rsidRPr="0036786D">
        <w:rPr>
          <w:rFonts w:ascii="宋体" w:eastAsia="宋体" w:hAnsi="宋体" w:cs="宋体" w:hint="eastAsia"/>
          <w:color w:val="000000" w:themeColor="text1"/>
          <w:sz w:val="21"/>
          <w:szCs w:val="21"/>
        </w:rPr>
        <w:t xml:space="preserve">  </w:t>
      </w:r>
      <w:r w:rsidRPr="0036786D">
        <w:rPr>
          <w:rFonts w:ascii="宋体" w:eastAsia="宋体" w:hAnsi="宋体" w:cs="宋体" w:hint="eastAsia"/>
          <w:color w:val="000000" w:themeColor="text1"/>
          <w:sz w:val="21"/>
          <w:szCs w:val="21"/>
        </w:rPr>
        <w:t>）</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A. 奴役掠夺土著居民      B. 建立的殖民统治最早</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C. 进行了大量的移民      D. 移植了本国生产方式</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正确答案所涉</w:t>
      </w:r>
      <w:r w:rsidR="00CA56A2" w:rsidRPr="0036786D">
        <w:rPr>
          <w:rFonts w:ascii="宋体" w:eastAsia="宋体" w:hAnsi="宋体" w:cs="宋体" w:hint="eastAsia"/>
          <w:color w:val="000000" w:themeColor="text1"/>
          <w:sz w:val="21"/>
          <w:szCs w:val="21"/>
        </w:rPr>
        <w:t>及的观点“殖民统治者移植本国生产方式，导致拉美发展停滞，落后于</w:t>
      </w:r>
      <w:r w:rsidRPr="0036786D">
        <w:rPr>
          <w:rFonts w:ascii="宋体" w:eastAsia="宋体" w:hAnsi="宋体" w:cs="宋体" w:hint="eastAsia"/>
          <w:color w:val="000000" w:themeColor="text1"/>
          <w:sz w:val="21"/>
          <w:szCs w:val="21"/>
        </w:rPr>
        <w:t>美国”属于超出教科书范围的学术观点。</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史学界中新成果新观点层出不穷，把新的东西渗透于高考试题中并非难事，但是一定要把握好尺度，一定要选择大多数学生依据所学知识能够理解的成果，否则考试测量的价值就无法保证，而且会误导教学走向深、难、偏、怪的境地。</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3.借助学术成果考查学生对史学研究方法的掌握</w:t>
      </w:r>
    </w:p>
    <w:p w:rsidR="004B1242" w:rsidRPr="0036786D" w:rsidRDefault="004B1242" w:rsidP="004B1242">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例</w:t>
      </w:r>
      <w:r w:rsidR="0035613E" w:rsidRPr="0036786D">
        <w:rPr>
          <w:rFonts w:ascii="宋体" w:eastAsia="宋体" w:hAnsi="宋体" w:cs="宋体" w:hint="eastAsia"/>
          <w:color w:val="000000" w:themeColor="text1"/>
          <w:sz w:val="21"/>
          <w:szCs w:val="21"/>
        </w:rPr>
        <w:t>4</w:t>
      </w:r>
      <w:r w:rsidRPr="0036786D">
        <w:rPr>
          <w:rFonts w:ascii="宋体" w:eastAsia="宋体" w:hAnsi="宋体" w:cs="宋体" w:hint="eastAsia"/>
          <w:color w:val="000000" w:themeColor="text1"/>
          <w:sz w:val="21"/>
          <w:szCs w:val="21"/>
        </w:rPr>
        <w:t>.（20</w:t>
      </w:r>
      <w:r w:rsidR="00AA3952" w:rsidRPr="0036786D">
        <w:rPr>
          <w:rFonts w:ascii="宋体" w:eastAsia="宋体" w:hAnsi="宋体" w:cs="宋体" w:hint="eastAsia"/>
          <w:color w:val="000000" w:themeColor="text1"/>
          <w:sz w:val="21"/>
          <w:szCs w:val="21"/>
        </w:rPr>
        <w:t>20</w:t>
      </w:r>
      <w:r w:rsidRPr="0036786D">
        <w:rPr>
          <w:rFonts w:ascii="宋体" w:eastAsia="宋体" w:hAnsi="宋体" w:cs="宋体" w:hint="eastAsia"/>
          <w:color w:val="000000" w:themeColor="text1"/>
          <w:sz w:val="21"/>
          <w:szCs w:val="21"/>
        </w:rPr>
        <w:t>·全国卷</w:t>
      </w:r>
      <w:r w:rsidR="0035613E" w:rsidRPr="0036786D">
        <w:rPr>
          <w:rFonts w:ascii="宋体" w:eastAsia="宋体" w:hAnsi="宋体" w:cs="宋体" w:hint="eastAsia"/>
          <w:color w:val="000000" w:themeColor="text1"/>
          <w:sz w:val="21"/>
          <w:szCs w:val="21"/>
        </w:rPr>
        <w:t>Ⅱ</w:t>
      </w:r>
      <w:r w:rsidRPr="0036786D">
        <w:rPr>
          <w:rFonts w:ascii="宋体" w:eastAsia="宋体" w:hAnsi="宋体" w:cs="宋体" w:hint="eastAsia"/>
          <w:color w:val="000000" w:themeColor="text1"/>
          <w:sz w:val="21"/>
          <w:szCs w:val="21"/>
        </w:rPr>
        <w:t>·25）敦煌莫高窟61号洞中的唐代壁画“五台山图”中有一座“大佛光之寺”，梁思成、林徽因按图索骥，在山西五台山地区发现了其实物——佛光寺。 这一事例说明此类壁画</w:t>
      </w:r>
      <w:r w:rsidR="00AA3952" w:rsidRPr="0036786D">
        <w:rPr>
          <w:rFonts w:ascii="宋体" w:eastAsia="宋体" w:hAnsi="宋体" w:cs="宋体" w:hint="eastAsia"/>
          <w:color w:val="000000" w:themeColor="text1"/>
          <w:sz w:val="21"/>
          <w:szCs w:val="21"/>
        </w:rPr>
        <w:t>（  ）</w:t>
      </w:r>
    </w:p>
    <w:p w:rsidR="004B1242" w:rsidRPr="0036786D" w:rsidRDefault="004B1242" w:rsidP="004B1242">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A．创作源于艺术想象                 B．能完整还原历史真实</w:t>
      </w:r>
    </w:p>
    <w:p w:rsidR="004B1242" w:rsidRPr="0036786D" w:rsidRDefault="004B1242" w:rsidP="004B1242">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C．可与文化遗存互证                 D．价值来自学者的发掘</w:t>
      </w:r>
    </w:p>
    <w:p w:rsidR="004B1242" w:rsidRPr="0036786D" w:rsidRDefault="00AA3952">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本题引入梁思成、林徽因考证佛光寺的学术研究案例，考查学生对“二重证据法”的理解。这样的试题能引导高中生涉猎史学研究的一些基本方法。但有些改编题粗糙模仿，为了追求考试测量的区分度而选择诘屈聱牙的文言文史料或者在题目中加塞多种杂乱无序甚至相互间严重抵触的史料，任意提高要求拔高难度，让学生不知所措。</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4.借助学术成果考查学生的史学理论素养</w:t>
      </w:r>
    </w:p>
    <w:p w:rsidR="00765527" w:rsidRPr="0036786D" w:rsidRDefault="00765527" w:rsidP="00765527">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例如前几年，涉及“现代化”理论、“社会史”视角的题目为数不少。当前，在核心素养理念的指引下，中学历史明确了以唯物史观作为史学理论素养培养的主要内容，相关试题</w:t>
      </w:r>
      <w:r w:rsidR="0045715A" w:rsidRPr="0036786D">
        <w:rPr>
          <w:rFonts w:ascii="宋体" w:eastAsia="宋体" w:hAnsi="宋体" w:cs="宋体" w:hint="eastAsia"/>
          <w:color w:val="000000" w:themeColor="text1"/>
          <w:sz w:val="21"/>
          <w:szCs w:val="21"/>
        </w:rPr>
        <w:t>层</w:t>
      </w:r>
      <w:r w:rsidRPr="0036786D">
        <w:rPr>
          <w:rFonts w:ascii="宋体" w:eastAsia="宋体" w:hAnsi="宋体" w:cs="宋体" w:hint="eastAsia"/>
          <w:color w:val="000000" w:themeColor="text1"/>
          <w:sz w:val="21"/>
          <w:szCs w:val="21"/>
        </w:rPr>
        <w:t>出不穷。然而，中学历史课程体系中并没有安排专门的章节对基本的史学理论进行系统介绍，若将大量史学理论的内容渗透到高考试题中，师生们会有点无所适从。</w:t>
      </w:r>
    </w:p>
    <w:p w:rsidR="00300F99" w:rsidRPr="0036786D" w:rsidRDefault="00407770" w:rsidP="00765527">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5.</w:t>
      </w:r>
      <w:r w:rsidR="00BC4A60" w:rsidRPr="0036786D">
        <w:rPr>
          <w:rFonts w:ascii="宋体" w:eastAsia="宋体" w:hAnsi="宋体" w:cs="宋体" w:hint="eastAsia"/>
          <w:color w:val="000000" w:themeColor="text1"/>
          <w:sz w:val="21"/>
          <w:szCs w:val="21"/>
        </w:rPr>
        <w:t>借助学术成果</w:t>
      </w:r>
      <w:r w:rsidRPr="0036786D">
        <w:rPr>
          <w:rFonts w:ascii="宋体" w:eastAsia="宋体" w:hAnsi="宋体" w:cs="宋体" w:hint="eastAsia"/>
          <w:color w:val="000000" w:themeColor="text1"/>
          <w:sz w:val="21"/>
          <w:szCs w:val="21"/>
        </w:rPr>
        <w:t>考查学生对学术史的理解</w:t>
      </w:r>
    </w:p>
    <w:p w:rsidR="007F73FC" w:rsidRPr="0036786D" w:rsidRDefault="007F73FC" w:rsidP="007F73FC">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例如，2013年全国</w:t>
      </w:r>
      <w:r w:rsidR="0045715A" w:rsidRPr="0036786D">
        <w:rPr>
          <w:rFonts w:ascii="宋体" w:eastAsia="宋体" w:hAnsi="宋体" w:cs="宋体" w:hint="eastAsia"/>
          <w:color w:val="000000" w:themeColor="text1"/>
          <w:sz w:val="21"/>
          <w:szCs w:val="21"/>
        </w:rPr>
        <w:t>卷</w:t>
      </w:r>
      <w:r w:rsidRPr="0036786D">
        <w:rPr>
          <w:rFonts w:ascii="宋体" w:eastAsia="宋体" w:hAnsi="宋体" w:cs="宋体" w:hint="eastAsia"/>
          <w:color w:val="000000" w:themeColor="text1"/>
          <w:sz w:val="21"/>
          <w:szCs w:val="21"/>
        </w:rPr>
        <w:t>Ⅱ第48 题，以两宋时期对王安石的评价以及梁启超对王安石的重新评价为题材，要求学生理解不同评价的理由。</w:t>
      </w:r>
      <w:r w:rsidR="008B0A7F" w:rsidRPr="0036786D">
        <w:rPr>
          <w:rFonts w:ascii="宋体" w:eastAsia="宋体" w:hAnsi="宋体" w:cs="宋体" w:hint="eastAsia"/>
          <w:color w:val="000000" w:themeColor="text1"/>
          <w:sz w:val="21"/>
          <w:szCs w:val="21"/>
        </w:rPr>
        <w:t>又如：</w:t>
      </w:r>
    </w:p>
    <w:p w:rsidR="007F73FC" w:rsidRPr="0036786D" w:rsidRDefault="007F73FC" w:rsidP="007F73FC">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例5.（2020•全国卷Ⅱ•</w:t>
      </w:r>
      <w:r w:rsidR="007749EB" w:rsidRPr="0036786D">
        <w:rPr>
          <w:rFonts w:ascii="宋体" w:eastAsia="宋体" w:hAnsi="宋体" w:cs="宋体" w:hint="eastAsia"/>
          <w:color w:val="000000" w:themeColor="text1"/>
          <w:sz w:val="21"/>
          <w:szCs w:val="21"/>
        </w:rPr>
        <w:t>3</w:t>
      </w:r>
      <w:r w:rsidRPr="0036786D">
        <w:rPr>
          <w:rFonts w:ascii="宋体" w:eastAsia="宋体" w:hAnsi="宋体" w:cs="宋体" w:hint="eastAsia"/>
          <w:color w:val="000000" w:themeColor="text1"/>
          <w:sz w:val="21"/>
          <w:szCs w:val="21"/>
        </w:rPr>
        <w:t>5）1958年，美苏签订“文化、技术和教育领域的交流协议”。两国展开了一系列文化往来，赴美的苏联学者90%为科学家、工程师，而赴苏联的美国学者90%是人文社会科学领域的专家。这表明</w:t>
      </w:r>
      <w:r w:rsidR="007749EB" w:rsidRPr="0036786D">
        <w:rPr>
          <w:rFonts w:ascii="宋体" w:eastAsia="宋体" w:hAnsi="宋体" w:cs="宋体" w:hint="eastAsia"/>
          <w:color w:val="000000" w:themeColor="text1"/>
          <w:sz w:val="21"/>
          <w:szCs w:val="21"/>
        </w:rPr>
        <w:t>（  ）</w:t>
      </w:r>
    </w:p>
    <w:p w:rsidR="007F73FC" w:rsidRPr="0036786D" w:rsidRDefault="007F73FC" w:rsidP="007F73FC">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A．美国旨在缓和与苏联的紧张关系     B．经济全球化的进程进一步加快</w:t>
      </w:r>
    </w:p>
    <w:p w:rsidR="007F73FC" w:rsidRPr="0036786D" w:rsidRDefault="007F73FC" w:rsidP="007F73FC">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C．冷战格局下美苏交流与对抗并存     D．苏联旨在对美国输出先进科技</w:t>
      </w:r>
    </w:p>
    <w:p w:rsidR="00765527" w:rsidRPr="0036786D" w:rsidRDefault="00016481" w:rsidP="008A009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lastRenderedPageBreak/>
        <w:t>本题</w:t>
      </w:r>
      <w:r w:rsidR="00E10117" w:rsidRPr="0036786D">
        <w:rPr>
          <w:rFonts w:ascii="宋体" w:eastAsia="宋体" w:hAnsi="宋体" w:cs="宋体" w:hint="eastAsia"/>
          <w:color w:val="000000" w:themeColor="text1"/>
          <w:sz w:val="21"/>
          <w:szCs w:val="21"/>
        </w:rPr>
        <w:t>涉及</w:t>
      </w:r>
      <w:r w:rsidR="007749EB" w:rsidRPr="0036786D">
        <w:rPr>
          <w:rFonts w:ascii="宋体" w:eastAsia="宋体" w:hAnsi="宋体" w:cs="宋体" w:hint="eastAsia"/>
          <w:color w:val="000000" w:themeColor="text1"/>
          <w:sz w:val="21"/>
          <w:szCs w:val="21"/>
        </w:rPr>
        <w:t>以往</w:t>
      </w:r>
      <w:r w:rsidR="00E10117" w:rsidRPr="0036786D">
        <w:rPr>
          <w:rFonts w:ascii="宋体" w:eastAsia="宋体" w:hAnsi="宋体" w:cs="宋体" w:hint="eastAsia"/>
          <w:color w:val="000000" w:themeColor="text1"/>
          <w:sz w:val="21"/>
          <w:szCs w:val="21"/>
        </w:rPr>
        <w:t>冷战史</w:t>
      </w:r>
      <w:r w:rsidRPr="0036786D">
        <w:rPr>
          <w:rFonts w:ascii="宋体" w:eastAsia="宋体" w:hAnsi="宋体" w:cs="宋体" w:hint="eastAsia"/>
          <w:color w:val="000000" w:themeColor="text1"/>
          <w:sz w:val="21"/>
          <w:szCs w:val="21"/>
        </w:rPr>
        <w:t>研究</w:t>
      </w:r>
      <w:r w:rsidR="007749EB" w:rsidRPr="0036786D">
        <w:rPr>
          <w:rFonts w:ascii="宋体" w:eastAsia="宋体" w:hAnsi="宋体" w:cs="宋体" w:hint="eastAsia"/>
          <w:color w:val="000000" w:themeColor="text1"/>
          <w:sz w:val="21"/>
          <w:szCs w:val="21"/>
        </w:rPr>
        <w:t>较少关注的</w:t>
      </w:r>
      <w:r w:rsidR="00E10117" w:rsidRPr="0036786D">
        <w:rPr>
          <w:rFonts w:ascii="宋体" w:eastAsia="宋体" w:hAnsi="宋体" w:cs="宋体" w:hint="eastAsia"/>
          <w:color w:val="000000" w:themeColor="text1"/>
          <w:sz w:val="21"/>
          <w:szCs w:val="21"/>
        </w:rPr>
        <w:t xml:space="preserve"> </w:t>
      </w:r>
      <w:r w:rsidRPr="0036786D">
        <w:rPr>
          <w:rFonts w:ascii="宋体" w:eastAsia="宋体" w:hAnsi="宋体" w:cs="宋体" w:hint="eastAsia"/>
          <w:color w:val="000000" w:themeColor="text1"/>
          <w:sz w:val="21"/>
          <w:szCs w:val="21"/>
        </w:rPr>
        <w:t>“</w:t>
      </w:r>
      <w:r w:rsidR="00B27F47" w:rsidRPr="0036786D">
        <w:rPr>
          <w:rFonts w:ascii="宋体" w:eastAsia="宋体" w:hAnsi="宋体" w:cs="宋体" w:hint="eastAsia"/>
          <w:color w:val="000000" w:themeColor="text1"/>
          <w:sz w:val="21"/>
          <w:szCs w:val="21"/>
        </w:rPr>
        <w:t>软实力</w:t>
      </w:r>
      <w:r w:rsidR="00E10117" w:rsidRPr="0036786D">
        <w:rPr>
          <w:rFonts w:ascii="宋体" w:eastAsia="宋体" w:hAnsi="宋体" w:cs="宋体" w:hint="eastAsia"/>
          <w:color w:val="000000" w:themeColor="text1"/>
          <w:sz w:val="21"/>
          <w:szCs w:val="21"/>
        </w:rPr>
        <w:t>竞争</w:t>
      </w:r>
      <w:r w:rsidRPr="0036786D">
        <w:rPr>
          <w:rFonts w:ascii="宋体" w:eastAsia="宋体" w:hAnsi="宋体" w:cs="宋体" w:hint="eastAsia"/>
          <w:color w:val="000000" w:themeColor="text1"/>
          <w:sz w:val="21"/>
          <w:szCs w:val="21"/>
        </w:rPr>
        <w:t>”</w:t>
      </w:r>
      <w:r w:rsidR="007749EB" w:rsidRPr="0036786D">
        <w:rPr>
          <w:rFonts w:ascii="宋体" w:eastAsia="宋体" w:hAnsi="宋体" w:cs="宋体" w:hint="eastAsia"/>
          <w:color w:val="000000" w:themeColor="text1"/>
          <w:sz w:val="21"/>
          <w:szCs w:val="21"/>
        </w:rPr>
        <w:t>问题</w:t>
      </w:r>
      <w:r w:rsidR="00E10117" w:rsidRPr="0036786D">
        <w:rPr>
          <w:rFonts w:ascii="宋体" w:eastAsia="宋体" w:hAnsi="宋体" w:cs="宋体" w:hint="eastAsia"/>
          <w:color w:val="000000" w:themeColor="text1"/>
          <w:sz w:val="21"/>
          <w:szCs w:val="21"/>
        </w:rPr>
        <w:t>，视角新颖，不落俗套，也对学生的认知能力提出较高要求。</w:t>
      </w:r>
      <w:r w:rsidR="00765527" w:rsidRPr="0036786D">
        <w:rPr>
          <w:rFonts w:ascii="宋体" w:eastAsia="宋体" w:hAnsi="宋体" w:cs="宋体" w:hint="eastAsia"/>
          <w:color w:val="000000" w:themeColor="text1"/>
          <w:sz w:val="21"/>
          <w:szCs w:val="21"/>
        </w:rPr>
        <w:t xml:space="preserve">其实，考查学术史相关内容无可厚非，但呈现方式不可过于专业。   </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以上五种类型，除了第一种外，其余的四种类型都属于较直接的引用专业的学术成果。不是说这些途径不妥当，而是引用学术成果时要注意考量中学生的实际，选择多数学生有机会触及的“最近发展区”。</w:t>
      </w:r>
    </w:p>
    <w:p w:rsidR="00985773" w:rsidRPr="0036786D" w:rsidRDefault="00985773" w:rsidP="00985773">
      <w:pPr>
        <w:spacing w:after="0" w:line="360" w:lineRule="auto"/>
        <w:ind w:firstLineChars="200" w:firstLine="422"/>
        <w:jc w:val="both"/>
        <w:rPr>
          <w:rFonts w:ascii="宋体" w:eastAsia="宋体" w:hAnsi="宋体" w:cs="宋体"/>
          <w:b/>
          <w:bCs/>
          <w:color w:val="000000" w:themeColor="text1"/>
          <w:sz w:val="21"/>
          <w:szCs w:val="21"/>
        </w:rPr>
      </w:pPr>
      <w:r w:rsidRPr="0036786D">
        <w:rPr>
          <w:rFonts w:ascii="宋体" w:eastAsia="宋体" w:hAnsi="宋体" w:cs="宋体" w:hint="eastAsia"/>
          <w:b/>
          <w:bCs/>
          <w:color w:val="000000" w:themeColor="text1"/>
          <w:sz w:val="21"/>
          <w:szCs w:val="21"/>
        </w:rPr>
        <w:t>（</w:t>
      </w:r>
      <w:r w:rsidR="007F73FC" w:rsidRPr="0036786D">
        <w:rPr>
          <w:rFonts w:ascii="宋体" w:eastAsia="宋体" w:hAnsi="宋体" w:cs="宋体" w:hint="eastAsia"/>
          <w:b/>
          <w:bCs/>
          <w:color w:val="000000" w:themeColor="text1"/>
          <w:sz w:val="21"/>
          <w:szCs w:val="21"/>
        </w:rPr>
        <w:t>三</w:t>
      </w:r>
      <w:r w:rsidRPr="0036786D">
        <w:rPr>
          <w:rFonts w:ascii="宋体" w:eastAsia="宋体" w:hAnsi="宋体" w:cs="宋体" w:hint="eastAsia"/>
          <w:b/>
          <w:bCs/>
          <w:color w:val="000000" w:themeColor="text1"/>
          <w:sz w:val="21"/>
          <w:szCs w:val="21"/>
        </w:rPr>
        <w:t>）被引用的学者群体分析</w:t>
      </w: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进入2013—2020年全国卷的这133</w:t>
      </w:r>
      <w:r w:rsidR="003A5531" w:rsidRPr="0036786D">
        <w:rPr>
          <w:rFonts w:ascii="宋体" w:eastAsia="宋体" w:hAnsi="宋体" w:cs="宋体" w:hint="eastAsia"/>
          <w:color w:val="000000" w:themeColor="text1"/>
          <w:sz w:val="21"/>
          <w:szCs w:val="21"/>
        </w:rPr>
        <w:t>项成果的</w:t>
      </w:r>
      <w:r w:rsidRPr="0036786D">
        <w:rPr>
          <w:rFonts w:ascii="宋体" w:eastAsia="宋体" w:hAnsi="宋体" w:cs="宋体" w:hint="eastAsia"/>
          <w:color w:val="000000" w:themeColor="text1"/>
          <w:sz w:val="21"/>
          <w:szCs w:val="21"/>
        </w:rPr>
        <w:t>获得者较为分散，其中包括大陆学者72人，海外学者16人。</w:t>
      </w:r>
      <w:r w:rsidR="00765527" w:rsidRPr="0036786D">
        <w:rPr>
          <w:rFonts w:asciiTheme="minorEastAsia" w:eastAsiaTheme="minorEastAsia" w:hAnsiTheme="minorEastAsia" w:hint="eastAsia"/>
          <w:color w:val="000000" w:themeColor="text1"/>
          <w:sz w:val="21"/>
          <w:szCs w:val="21"/>
        </w:rPr>
        <w:t>可见命题者的学术视野非常开阔</w:t>
      </w:r>
      <w:r w:rsidR="00B410D0" w:rsidRPr="0036786D">
        <w:rPr>
          <w:rFonts w:asciiTheme="minorEastAsia" w:eastAsiaTheme="minorEastAsia" w:hAnsiTheme="minorEastAsia" w:hint="eastAsia"/>
          <w:color w:val="000000" w:themeColor="text1"/>
          <w:sz w:val="21"/>
          <w:szCs w:val="21"/>
        </w:rPr>
        <w:t>,</w:t>
      </w:r>
      <w:r w:rsidR="00B410D0" w:rsidRPr="0036786D">
        <w:rPr>
          <w:rFonts w:ascii="宋体" w:eastAsia="宋体" w:hAnsi="宋体" w:cs="宋体" w:hint="eastAsia"/>
          <w:color w:val="000000" w:themeColor="text1"/>
          <w:sz w:val="21"/>
          <w:szCs w:val="21"/>
        </w:rPr>
        <w:t>素材的来源</w:t>
      </w:r>
      <w:r w:rsidRPr="0036786D">
        <w:rPr>
          <w:rFonts w:ascii="宋体" w:eastAsia="宋体" w:hAnsi="宋体" w:cs="宋体" w:hint="eastAsia"/>
          <w:color w:val="000000" w:themeColor="text1"/>
          <w:sz w:val="21"/>
          <w:szCs w:val="21"/>
        </w:rPr>
        <w:t>非常广泛。但也有相对集中的情况，下表统计了被引用2次以上的学者学术成果排名情况。</w:t>
      </w:r>
    </w:p>
    <w:p w:rsidR="00300F99" w:rsidRPr="0036786D" w:rsidRDefault="00407770">
      <w:pPr>
        <w:spacing w:after="0" w:line="360" w:lineRule="auto"/>
        <w:jc w:val="center"/>
        <w:rPr>
          <w:rFonts w:ascii="黑体" w:eastAsia="黑体" w:hAnsi="黑体" w:cs="黑体"/>
          <w:color w:val="000000" w:themeColor="text1"/>
          <w:sz w:val="21"/>
          <w:szCs w:val="21"/>
        </w:rPr>
      </w:pPr>
      <w:r w:rsidRPr="0036786D">
        <w:rPr>
          <w:rFonts w:ascii="黑体" w:eastAsia="黑体" w:hAnsi="黑体" w:cs="黑体" w:hint="eastAsia"/>
          <w:color w:val="000000" w:themeColor="text1"/>
          <w:sz w:val="21"/>
          <w:szCs w:val="21"/>
        </w:rPr>
        <w:t>表3  2013—20</w:t>
      </w:r>
      <w:r w:rsidR="00765527" w:rsidRPr="0036786D">
        <w:rPr>
          <w:rFonts w:ascii="黑体" w:eastAsia="黑体" w:hAnsi="黑体" w:cs="黑体" w:hint="eastAsia"/>
          <w:color w:val="000000" w:themeColor="text1"/>
          <w:sz w:val="21"/>
          <w:szCs w:val="21"/>
        </w:rPr>
        <w:t>20</w:t>
      </w:r>
      <w:r w:rsidRPr="0036786D">
        <w:rPr>
          <w:rFonts w:ascii="黑体" w:eastAsia="黑体" w:hAnsi="黑体" w:cs="黑体" w:hint="eastAsia"/>
          <w:color w:val="000000" w:themeColor="text1"/>
          <w:sz w:val="21"/>
          <w:szCs w:val="21"/>
        </w:rPr>
        <w:t>年全国卷学者学术成果引用次数排名</w:t>
      </w:r>
    </w:p>
    <w:tbl>
      <w:tblPr>
        <w:tblStyle w:val="a6"/>
        <w:tblW w:w="0" w:type="auto"/>
        <w:jc w:val="center"/>
        <w:tblLook w:val="04A0"/>
      </w:tblPr>
      <w:tblGrid>
        <w:gridCol w:w="638"/>
        <w:gridCol w:w="1842"/>
        <w:gridCol w:w="2952"/>
        <w:gridCol w:w="734"/>
      </w:tblGrid>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排名</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姓名</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被引用的学术著述</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次数</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1</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白寿彝</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中国通史</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12</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张海鹏</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中国近代通史</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4</w:t>
            </w:r>
          </w:p>
        </w:tc>
      </w:tr>
      <w:tr w:rsidR="00300F99" w:rsidRPr="0036786D" w:rsidTr="005B0AFA">
        <w:trPr>
          <w:jc w:val="center"/>
        </w:trPr>
        <w:tc>
          <w:tcPr>
            <w:tcW w:w="638" w:type="dxa"/>
          </w:tcPr>
          <w:p w:rsidR="00300F99" w:rsidRPr="0036786D" w:rsidRDefault="00300F99">
            <w:pPr>
              <w:spacing w:after="0" w:line="360" w:lineRule="auto"/>
              <w:jc w:val="both"/>
              <w:rPr>
                <w:rFonts w:ascii="楷体" w:eastAsia="楷体" w:hAnsi="楷体" w:cs="宋体"/>
                <w:color w:val="000000" w:themeColor="text1"/>
                <w:sz w:val="21"/>
                <w:szCs w:val="21"/>
              </w:rPr>
            </w:pPr>
          </w:p>
        </w:tc>
        <w:tc>
          <w:tcPr>
            <w:tcW w:w="1842" w:type="dxa"/>
          </w:tcPr>
          <w:p w:rsidR="00300F99" w:rsidRPr="0036786D" w:rsidRDefault="00300F99">
            <w:pPr>
              <w:spacing w:after="0" w:line="360" w:lineRule="auto"/>
              <w:jc w:val="both"/>
              <w:rPr>
                <w:rFonts w:ascii="楷体" w:eastAsia="楷体" w:hAnsi="楷体" w:cs="宋体"/>
                <w:color w:val="000000" w:themeColor="text1"/>
                <w:sz w:val="21"/>
                <w:szCs w:val="21"/>
              </w:rPr>
            </w:pP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中国近代史</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1</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3</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王绳祖</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国际关系史</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3</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4</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吴于厪、齐世荣</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世界史</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3</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5</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吕思勉</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中国通史</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w:t>
            </w:r>
          </w:p>
        </w:tc>
      </w:tr>
      <w:tr w:rsidR="00300F99" w:rsidRPr="0036786D" w:rsidTr="005B0AFA">
        <w:trPr>
          <w:jc w:val="center"/>
        </w:trPr>
        <w:tc>
          <w:tcPr>
            <w:tcW w:w="638" w:type="dxa"/>
          </w:tcPr>
          <w:p w:rsidR="00300F99" w:rsidRPr="0036786D" w:rsidRDefault="00300F99">
            <w:pPr>
              <w:spacing w:after="0" w:line="360" w:lineRule="auto"/>
              <w:jc w:val="both"/>
              <w:rPr>
                <w:rFonts w:ascii="楷体" w:eastAsia="楷体" w:hAnsi="楷体" w:cs="宋体"/>
                <w:color w:val="000000" w:themeColor="text1"/>
                <w:sz w:val="21"/>
                <w:szCs w:val="21"/>
              </w:rPr>
            </w:pPr>
          </w:p>
        </w:tc>
        <w:tc>
          <w:tcPr>
            <w:tcW w:w="1842" w:type="dxa"/>
          </w:tcPr>
          <w:p w:rsidR="00300F99" w:rsidRPr="0036786D" w:rsidRDefault="00300F99">
            <w:pPr>
              <w:spacing w:after="0" w:line="360" w:lineRule="auto"/>
              <w:jc w:val="both"/>
              <w:rPr>
                <w:rFonts w:ascii="楷体" w:eastAsia="楷体" w:hAnsi="楷体" w:cs="宋体"/>
                <w:color w:val="000000" w:themeColor="text1"/>
                <w:sz w:val="21"/>
                <w:szCs w:val="21"/>
              </w:rPr>
            </w:pP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魏晋南北朝史</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1</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6</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王奇生</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革命与反革命</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7</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卞孝萱</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韩愈评传</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8</w:t>
            </w:r>
          </w:p>
        </w:tc>
        <w:tc>
          <w:tcPr>
            <w:tcW w:w="1842" w:type="dxa"/>
            <w:vAlign w:val="bottom"/>
          </w:tcPr>
          <w:p w:rsidR="00300F99" w:rsidRPr="0036786D" w:rsidRDefault="00407770">
            <w:pPr>
              <w:spacing w:after="0" w:line="360" w:lineRule="auto"/>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郭德宏</w:t>
            </w:r>
          </w:p>
        </w:tc>
        <w:tc>
          <w:tcPr>
            <w:tcW w:w="2952" w:type="dxa"/>
            <w:vAlign w:val="bottom"/>
          </w:tcPr>
          <w:p w:rsidR="00300F99" w:rsidRPr="0036786D" w:rsidRDefault="00407770">
            <w:pPr>
              <w:spacing w:after="0" w:line="360" w:lineRule="auto"/>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中华人民共和国专题史镐</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9</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许涤新、吴承明</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中国资本主义发展史</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w:t>
            </w:r>
          </w:p>
        </w:tc>
      </w:tr>
      <w:tr w:rsidR="00300F99" w:rsidRPr="0036786D" w:rsidTr="005B0AFA">
        <w:trPr>
          <w:jc w:val="center"/>
        </w:trPr>
        <w:tc>
          <w:tcPr>
            <w:tcW w:w="638"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10</w:t>
            </w:r>
          </w:p>
        </w:tc>
        <w:tc>
          <w:tcPr>
            <w:tcW w:w="184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葛剑雄等</w:t>
            </w:r>
          </w:p>
        </w:tc>
        <w:tc>
          <w:tcPr>
            <w:tcW w:w="2952"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中国移民史</w:t>
            </w:r>
          </w:p>
        </w:tc>
        <w:tc>
          <w:tcPr>
            <w:tcW w:w="734" w:type="dxa"/>
          </w:tcPr>
          <w:p w:rsidR="00300F99" w:rsidRPr="0036786D" w:rsidRDefault="00407770">
            <w:pPr>
              <w:spacing w:after="0" w:line="360" w:lineRule="auto"/>
              <w:jc w:val="both"/>
              <w:rPr>
                <w:rFonts w:ascii="楷体" w:eastAsia="楷体" w:hAnsi="楷体" w:cs="宋体"/>
                <w:color w:val="000000" w:themeColor="text1"/>
                <w:sz w:val="21"/>
                <w:szCs w:val="21"/>
              </w:rPr>
            </w:pPr>
            <w:r w:rsidRPr="0036786D">
              <w:rPr>
                <w:rFonts w:ascii="楷体" w:eastAsia="楷体" w:hAnsi="楷体" w:cs="宋体" w:hint="eastAsia"/>
                <w:color w:val="000000" w:themeColor="text1"/>
                <w:sz w:val="21"/>
                <w:szCs w:val="21"/>
              </w:rPr>
              <w:t>2</w:t>
            </w:r>
          </w:p>
        </w:tc>
      </w:tr>
    </w:tbl>
    <w:p w:rsidR="005B0AFA" w:rsidRPr="0036786D" w:rsidRDefault="00407770" w:rsidP="005B0AFA">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以上这些作者都是史学领域的名家，这些著述都是史学经典，值得广大师生课余参阅。此外，还有很多学术专著尽管目前被</w:t>
      </w:r>
      <w:r w:rsidR="00B410D0" w:rsidRPr="0036786D">
        <w:rPr>
          <w:rFonts w:ascii="宋体" w:eastAsia="宋体" w:hAnsi="宋体" w:cs="宋体" w:hint="eastAsia"/>
          <w:color w:val="000000" w:themeColor="text1"/>
          <w:sz w:val="21"/>
          <w:szCs w:val="21"/>
        </w:rPr>
        <w:t>高考全国卷</w:t>
      </w:r>
      <w:r w:rsidRPr="0036786D">
        <w:rPr>
          <w:rFonts w:ascii="宋体" w:eastAsia="宋体" w:hAnsi="宋体" w:cs="宋体" w:hint="eastAsia"/>
          <w:color w:val="000000" w:themeColor="text1"/>
          <w:sz w:val="21"/>
          <w:szCs w:val="21"/>
        </w:rPr>
        <w:t>引用的次数只有1次，但在学术</w:t>
      </w:r>
      <w:r w:rsidR="00B410D0" w:rsidRPr="0036786D">
        <w:rPr>
          <w:rFonts w:ascii="宋体" w:eastAsia="宋体" w:hAnsi="宋体" w:cs="宋体" w:hint="eastAsia"/>
          <w:color w:val="000000" w:themeColor="text1"/>
          <w:sz w:val="21"/>
          <w:szCs w:val="21"/>
        </w:rPr>
        <w:t>界也有着很高的声誉与影响力，在部分自主命题的省份所命制的高考</w:t>
      </w:r>
      <w:r w:rsidRPr="0036786D">
        <w:rPr>
          <w:rFonts w:ascii="宋体" w:eastAsia="宋体" w:hAnsi="宋体" w:cs="宋体" w:hint="eastAsia"/>
          <w:color w:val="000000" w:themeColor="text1"/>
          <w:sz w:val="21"/>
          <w:szCs w:val="21"/>
        </w:rPr>
        <w:t>试题与各省市大型的质量检测试题中经常被引用，也是我们要引起重视的宝贵教学资源，如陈旭麓的《近代中国社会的新陈代谢》、王家范的《中国历史通论》、徐中约的《中国近代史：1600—2000中国的奋斗》、茅海建的《天朝的崩溃》、刘宗绪的《世界近代史》等。</w:t>
      </w:r>
    </w:p>
    <w:p w:rsidR="00AB5D10" w:rsidRPr="0036786D" w:rsidRDefault="00407770" w:rsidP="004659D5">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将这些信息与黄牧航教授整理的数据相比较，我们发现引用海外学者学术成果的比重明显下降。据黄牧航教授统计，2007—2013年高考引用学术成果的作者包括127位大陆学者和40位海外学者，海外学者约占24%，成果被引用2次以上的海外学者有8位，其中包括了知名度很高的斯塔夫里阿诺斯、费正清、帕尔默、霍布斯鲍姆、本特利。</w:t>
      </w:r>
      <w:r w:rsidR="005B0AFA" w:rsidRPr="0036786D">
        <w:rPr>
          <w:rStyle w:val="a7"/>
          <w:rFonts w:ascii="宋体" w:eastAsia="宋体" w:hAnsi="宋体" w:cs="宋体" w:hint="eastAsia"/>
          <w:color w:val="000000" w:themeColor="text1"/>
          <w:sz w:val="21"/>
          <w:szCs w:val="21"/>
        </w:rPr>
        <w:sym w:font="Symbol" w:char="F05B"/>
      </w:r>
      <w:r w:rsidR="005B0AFA" w:rsidRPr="0036786D">
        <w:rPr>
          <w:rStyle w:val="a7"/>
          <w:rFonts w:ascii="宋体" w:eastAsia="宋体" w:hAnsi="宋体" w:cs="宋体" w:hint="eastAsia"/>
          <w:color w:val="000000" w:themeColor="text1"/>
          <w:sz w:val="21"/>
          <w:szCs w:val="21"/>
        </w:rPr>
        <w:t>4</w:t>
      </w:r>
      <w:r w:rsidR="005B0AFA" w:rsidRPr="0036786D">
        <w:rPr>
          <w:rStyle w:val="a7"/>
          <w:rFonts w:ascii="宋体" w:eastAsia="宋体" w:hAnsi="宋体" w:cs="宋体" w:hint="eastAsia"/>
          <w:color w:val="000000" w:themeColor="text1"/>
          <w:sz w:val="21"/>
          <w:szCs w:val="21"/>
        </w:rPr>
        <w:sym w:font="Symbol" w:char="F05D"/>
      </w:r>
      <w:r w:rsidRPr="0036786D">
        <w:rPr>
          <w:rFonts w:ascii="宋体" w:eastAsia="宋体" w:hAnsi="宋体" w:cs="宋体" w:hint="eastAsia"/>
          <w:color w:val="000000" w:themeColor="text1"/>
          <w:sz w:val="21"/>
          <w:szCs w:val="21"/>
        </w:rPr>
        <w:t>而在2013</w:t>
      </w:r>
      <w:r w:rsidR="0002106A" w:rsidRPr="0036786D">
        <w:rPr>
          <w:rFonts w:ascii="黑体" w:eastAsia="黑体" w:hAnsi="黑体" w:cs="黑体" w:hint="eastAsia"/>
          <w:color w:val="000000" w:themeColor="text1"/>
          <w:sz w:val="21"/>
          <w:szCs w:val="21"/>
        </w:rPr>
        <w:lastRenderedPageBreak/>
        <w:t>—</w:t>
      </w:r>
      <w:r w:rsidRPr="0036786D">
        <w:rPr>
          <w:rFonts w:ascii="宋体" w:eastAsia="宋体" w:hAnsi="宋体" w:cs="宋体" w:hint="eastAsia"/>
          <w:color w:val="000000" w:themeColor="text1"/>
          <w:sz w:val="21"/>
          <w:szCs w:val="21"/>
        </w:rPr>
        <w:t>20</w:t>
      </w:r>
      <w:r w:rsidR="005B0AFA" w:rsidRPr="0036786D">
        <w:rPr>
          <w:rFonts w:ascii="宋体" w:eastAsia="宋体" w:hAnsi="宋体" w:cs="宋体" w:hint="eastAsia"/>
          <w:color w:val="000000" w:themeColor="text1"/>
          <w:sz w:val="21"/>
          <w:szCs w:val="21"/>
        </w:rPr>
        <w:t>20</w:t>
      </w:r>
      <w:r w:rsidRPr="0036786D">
        <w:rPr>
          <w:rFonts w:ascii="宋体" w:eastAsia="宋体" w:hAnsi="宋体" w:cs="宋体" w:hint="eastAsia"/>
          <w:color w:val="000000" w:themeColor="text1"/>
          <w:sz w:val="21"/>
          <w:szCs w:val="21"/>
        </w:rPr>
        <w:t>年</w:t>
      </w:r>
      <w:r w:rsidR="007F73FC" w:rsidRPr="0036786D">
        <w:rPr>
          <w:rFonts w:ascii="宋体" w:eastAsia="宋体" w:hAnsi="宋体" w:cs="宋体" w:hint="eastAsia"/>
          <w:color w:val="000000" w:themeColor="text1"/>
          <w:sz w:val="21"/>
          <w:szCs w:val="21"/>
        </w:rPr>
        <w:t>的高考</w:t>
      </w:r>
      <w:r w:rsidRPr="0036786D">
        <w:rPr>
          <w:rFonts w:ascii="宋体" w:eastAsia="宋体" w:hAnsi="宋体" w:cs="宋体" w:hint="eastAsia"/>
          <w:color w:val="000000" w:themeColor="text1"/>
          <w:sz w:val="21"/>
          <w:szCs w:val="21"/>
        </w:rPr>
        <w:t>全国卷中，学术成果被引用的海外学者占比下降到约18%，斯塔夫里阿诺斯、费正清等著名学者的成果也没有再进入试题中。甚至没有一位海外学者的成果被引用2次以上，与之不同的是，大陆学者有10位。也许一方面受文化自信理念的影响，另一方面海外学者在立场、视角、行文习惯（有时是翻译的问题）</w:t>
      </w:r>
      <w:r w:rsidR="007749EB" w:rsidRPr="0036786D">
        <w:rPr>
          <w:rFonts w:ascii="宋体" w:eastAsia="宋体" w:hAnsi="宋体" w:cs="宋体" w:hint="eastAsia"/>
          <w:color w:val="000000" w:themeColor="text1"/>
          <w:sz w:val="21"/>
          <w:szCs w:val="21"/>
        </w:rPr>
        <w:t>与我们有着一定差异，引用其成果较容易引起争议，因此当下高考</w:t>
      </w:r>
      <w:r w:rsidRPr="0036786D">
        <w:rPr>
          <w:rFonts w:ascii="宋体" w:eastAsia="宋体" w:hAnsi="宋体" w:cs="宋体" w:hint="eastAsia"/>
          <w:color w:val="000000" w:themeColor="text1"/>
          <w:sz w:val="21"/>
          <w:szCs w:val="21"/>
        </w:rPr>
        <w:t>全国卷的命题者更习惯于从大陆学者的学术成果中寻找灵感。</w:t>
      </w:r>
    </w:p>
    <w:p w:rsidR="00AB5D10" w:rsidRPr="0036786D" w:rsidRDefault="00CA56A2" w:rsidP="006C72A7">
      <w:pPr>
        <w:spacing w:after="0" w:line="360" w:lineRule="auto"/>
        <w:ind w:firstLineChars="200" w:firstLine="422"/>
        <w:jc w:val="both"/>
        <w:rPr>
          <w:rFonts w:ascii="宋体" w:eastAsia="宋体" w:hAnsi="宋体" w:cs="宋体"/>
          <w:b/>
          <w:bCs/>
          <w:color w:val="000000" w:themeColor="text1"/>
          <w:sz w:val="21"/>
          <w:szCs w:val="21"/>
        </w:rPr>
      </w:pPr>
      <w:r w:rsidRPr="0036786D">
        <w:rPr>
          <w:rFonts w:ascii="宋体" w:eastAsia="宋体" w:hAnsi="宋体" w:cs="宋体" w:hint="eastAsia"/>
          <w:b/>
          <w:bCs/>
          <w:color w:val="000000" w:themeColor="text1"/>
          <w:sz w:val="21"/>
          <w:szCs w:val="21"/>
        </w:rPr>
        <w:t>二、</w:t>
      </w:r>
      <w:r w:rsidR="00AB5D10" w:rsidRPr="0036786D">
        <w:rPr>
          <w:rFonts w:ascii="宋体" w:eastAsia="宋体" w:hAnsi="宋体" w:cs="宋体" w:hint="eastAsia"/>
          <w:b/>
          <w:bCs/>
          <w:color w:val="000000" w:themeColor="text1"/>
          <w:sz w:val="21"/>
          <w:szCs w:val="21"/>
        </w:rPr>
        <w:t>二轮复习中针对渗透课外学术成果试题的备考策略</w:t>
      </w:r>
    </w:p>
    <w:p w:rsidR="006E59D3" w:rsidRPr="0036786D" w:rsidRDefault="004659D5">
      <w:pPr>
        <w:spacing w:after="0" w:line="360" w:lineRule="auto"/>
        <w:ind w:firstLineChars="200" w:firstLine="420"/>
        <w:jc w:val="both"/>
        <w:rPr>
          <w:rFonts w:asciiTheme="minorEastAsia" w:eastAsiaTheme="minorEastAsia" w:hAnsiTheme="minorEastAsia"/>
          <w:color w:val="000000" w:themeColor="text1"/>
          <w:sz w:val="21"/>
          <w:szCs w:val="21"/>
        </w:rPr>
      </w:pPr>
      <w:r w:rsidRPr="0036786D">
        <w:rPr>
          <w:rFonts w:ascii="宋体" w:eastAsia="宋体" w:hAnsi="宋体" w:cs="宋体" w:hint="eastAsia"/>
          <w:color w:val="000000" w:themeColor="text1"/>
          <w:sz w:val="21"/>
          <w:szCs w:val="21"/>
        </w:rPr>
        <w:t>通过以上分析，我们可以看到，将课外学术成果渗透到高考历史试题中是新课程改革以来已经比较稳定的趋势。虽然2021年的高考，有不少省份将回归自主命题，</w:t>
      </w:r>
      <w:r w:rsidRPr="0036786D">
        <w:rPr>
          <w:rFonts w:asciiTheme="minorEastAsia" w:eastAsiaTheme="minorEastAsia" w:hAnsiTheme="minorEastAsia" w:hint="eastAsia"/>
          <w:color w:val="000000" w:themeColor="text1"/>
          <w:sz w:val="21"/>
          <w:szCs w:val="21"/>
        </w:rPr>
        <w:t>但是我们可以估计引用课外学术成果命题的惯例仍将延续。为此，在当前的高中历史二轮复习中，我们应对</w:t>
      </w:r>
      <w:r w:rsidRPr="0036786D">
        <w:rPr>
          <w:rFonts w:ascii="宋体" w:eastAsia="宋体" w:hAnsi="宋体" w:cs="宋体" w:hint="eastAsia"/>
          <w:color w:val="000000" w:themeColor="text1"/>
          <w:sz w:val="21"/>
          <w:szCs w:val="21"/>
        </w:rPr>
        <w:t>渗透课外学术成果的试题引起足够重视，进行有针对性的备考复习。</w:t>
      </w:r>
    </w:p>
    <w:p w:rsidR="003A33EE" w:rsidRPr="0036786D" w:rsidRDefault="001A35F9" w:rsidP="003A33EE">
      <w:pPr>
        <w:spacing w:after="0" w:line="360" w:lineRule="auto"/>
        <w:ind w:firstLineChars="200" w:firstLine="422"/>
        <w:jc w:val="both"/>
        <w:rPr>
          <w:rFonts w:ascii="宋体" w:eastAsia="宋体" w:hAnsi="宋体" w:cs="宋体"/>
          <w:b/>
          <w:bCs/>
          <w:color w:val="000000" w:themeColor="text1"/>
          <w:sz w:val="21"/>
          <w:szCs w:val="21"/>
        </w:rPr>
      </w:pPr>
      <w:r w:rsidRPr="0036786D">
        <w:rPr>
          <w:rFonts w:ascii="宋体" w:eastAsia="宋体" w:hAnsi="宋体" w:cs="宋体" w:hint="eastAsia"/>
          <w:b/>
          <w:bCs/>
          <w:color w:val="000000" w:themeColor="text1"/>
          <w:sz w:val="21"/>
          <w:szCs w:val="21"/>
        </w:rPr>
        <w:t>（一）借助学术论著</w:t>
      </w:r>
      <w:r w:rsidR="003A33EE" w:rsidRPr="0036786D">
        <w:rPr>
          <w:rFonts w:ascii="宋体" w:eastAsia="宋体" w:hAnsi="宋体" w:cs="宋体" w:hint="eastAsia"/>
          <w:b/>
          <w:bCs/>
          <w:color w:val="000000" w:themeColor="text1"/>
          <w:sz w:val="21"/>
          <w:szCs w:val="21"/>
        </w:rPr>
        <w:t>，重新整合知识体系</w:t>
      </w:r>
    </w:p>
    <w:p w:rsidR="001A35F9" w:rsidRPr="0036786D" w:rsidRDefault="001A35F9" w:rsidP="001A35F9">
      <w:pPr>
        <w:spacing w:after="0" w:line="360" w:lineRule="auto"/>
        <w:ind w:firstLineChars="200" w:firstLine="420"/>
        <w:jc w:val="both"/>
        <w:rPr>
          <w:rFonts w:ascii="宋体" w:eastAsia="宋体" w:hAnsi="宋体" w:cs="宋体"/>
          <w:bCs/>
          <w:color w:val="000000" w:themeColor="text1"/>
          <w:sz w:val="21"/>
          <w:szCs w:val="21"/>
        </w:rPr>
      </w:pPr>
      <w:r w:rsidRPr="0036786D">
        <w:rPr>
          <w:rFonts w:ascii="宋体" w:eastAsia="宋体" w:hAnsi="宋体" w:cs="宋体" w:hint="eastAsia"/>
          <w:bCs/>
          <w:color w:val="000000" w:themeColor="text1"/>
          <w:sz w:val="21"/>
          <w:szCs w:val="21"/>
        </w:rPr>
        <w:t>由于一轮复习主要是依据教材，按照政治史、经济史、文化史三大模块来夯实高中历史的主干知识，二轮复习就很有必要以时序为线</w:t>
      </w:r>
      <w:r w:rsidR="00962C75" w:rsidRPr="0036786D">
        <w:rPr>
          <w:rFonts w:ascii="宋体" w:eastAsia="宋体" w:hAnsi="宋体" w:cs="宋体" w:hint="eastAsia"/>
          <w:bCs/>
          <w:color w:val="000000" w:themeColor="text1"/>
          <w:sz w:val="21"/>
          <w:szCs w:val="21"/>
        </w:rPr>
        <w:t>，重新整合知识体系，让学生明晰不同历史阶段的整体时代特征。在二轮复习过程中，学术论著是非常重要的教学资源</w:t>
      </w:r>
      <w:r w:rsidR="00A70DFC" w:rsidRPr="0036786D">
        <w:rPr>
          <w:rFonts w:ascii="宋体" w:eastAsia="宋体" w:hAnsi="宋体" w:cs="宋体" w:hint="eastAsia"/>
          <w:bCs/>
          <w:color w:val="000000" w:themeColor="text1"/>
          <w:sz w:val="21"/>
          <w:szCs w:val="21"/>
        </w:rPr>
        <w:t>。我们在进行某一历史时期的横向复习时，可以从学术论著中摘编恰当的材料，引导学生在准确解读的基础上，迁移不同模块中的相关知识，进而把握该阶段的时代特征。例如2020年</w:t>
      </w:r>
      <w:r w:rsidR="00490055" w:rsidRPr="0036786D">
        <w:rPr>
          <w:rFonts w:ascii="宋体" w:eastAsia="宋体" w:hAnsi="宋体" w:cs="宋体" w:hint="eastAsia"/>
          <w:bCs/>
          <w:color w:val="000000" w:themeColor="text1"/>
          <w:sz w:val="21"/>
          <w:szCs w:val="21"/>
        </w:rPr>
        <w:t>全国卷</w:t>
      </w:r>
      <w:r w:rsidR="004F3F11" w:rsidRPr="0036786D">
        <w:rPr>
          <w:rFonts w:ascii="宋体" w:eastAsia="宋体" w:hAnsi="宋体" w:cs="宋体" w:hint="eastAsia"/>
          <w:bCs/>
          <w:color w:val="000000" w:themeColor="text1"/>
          <w:sz w:val="21"/>
          <w:szCs w:val="21"/>
        </w:rPr>
        <w:t>Ⅰ</w:t>
      </w:r>
      <w:r w:rsidR="00490055" w:rsidRPr="0036786D">
        <w:rPr>
          <w:rFonts w:ascii="宋体" w:eastAsia="宋体" w:hAnsi="宋体" w:cs="宋体" w:hint="eastAsia"/>
          <w:bCs/>
          <w:color w:val="000000" w:themeColor="text1"/>
          <w:sz w:val="21"/>
          <w:szCs w:val="21"/>
        </w:rPr>
        <w:t>第42题提及</w:t>
      </w:r>
      <w:r w:rsidR="000B2443" w:rsidRPr="0036786D">
        <w:rPr>
          <w:rFonts w:ascii="宋体" w:eastAsia="宋体" w:hAnsi="宋体" w:cs="宋体" w:hint="eastAsia"/>
          <w:bCs/>
          <w:color w:val="000000" w:themeColor="text1"/>
          <w:sz w:val="21"/>
          <w:szCs w:val="21"/>
        </w:rPr>
        <w:t>的</w:t>
      </w:r>
      <w:r w:rsidR="00490055" w:rsidRPr="0036786D">
        <w:rPr>
          <w:rFonts w:ascii="宋体" w:eastAsia="宋体" w:hAnsi="宋体" w:cs="宋体" w:hint="eastAsia"/>
          <w:bCs/>
          <w:color w:val="000000" w:themeColor="text1"/>
          <w:sz w:val="21"/>
          <w:szCs w:val="21"/>
        </w:rPr>
        <w:t>《儒家统治的时代：宋的转型》（美国</w:t>
      </w:r>
      <w:r w:rsidR="00490055" w:rsidRPr="0036786D">
        <w:rPr>
          <w:rFonts w:ascii="宋体" w:eastAsia="宋体" w:hAnsi="宋体" w:cs="宋体"/>
          <w:bCs/>
          <w:color w:val="000000" w:themeColor="text1"/>
          <w:sz w:val="21"/>
          <w:szCs w:val="21"/>
        </w:rPr>
        <w:t>“哈佛中国史”</w:t>
      </w:r>
      <w:r w:rsidR="00796798" w:rsidRPr="0036786D">
        <w:rPr>
          <w:rFonts w:ascii="宋体" w:eastAsia="宋体" w:hAnsi="宋体" w:cs="宋体"/>
          <w:bCs/>
          <w:color w:val="000000" w:themeColor="text1"/>
          <w:sz w:val="21"/>
          <w:szCs w:val="21"/>
        </w:rPr>
        <w:t>丛书</w:t>
      </w:r>
      <w:r w:rsidR="00490055" w:rsidRPr="0036786D">
        <w:rPr>
          <w:rFonts w:ascii="宋体" w:eastAsia="宋体" w:hAnsi="宋体" w:cs="宋体"/>
          <w:bCs/>
          <w:color w:val="000000" w:themeColor="text1"/>
          <w:sz w:val="21"/>
          <w:szCs w:val="21"/>
        </w:rPr>
        <w:t>第四卷</w:t>
      </w:r>
      <w:r w:rsidR="00490055" w:rsidRPr="0036786D">
        <w:rPr>
          <w:rFonts w:ascii="宋体" w:eastAsia="宋体" w:hAnsi="宋体" w:cs="宋体" w:hint="eastAsia"/>
          <w:bCs/>
          <w:color w:val="000000" w:themeColor="text1"/>
          <w:sz w:val="21"/>
          <w:szCs w:val="21"/>
        </w:rPr>
        <w:t>）、《中国思想与宗教的奔流：宋朝》（日本</w:t>
      </w:r>
      <w:r w:rsidR="00490055" w:rsidRPr="0036786D">
        <w:rPr>
          <w:rFonts w:ascii="宋体" w:eastAsia="宋体" w:hAnsi="宋体" w:cs="宋体"/>
          <w:bCs/>
          <w:color w:val="000000" w:themeColor="text1"/>
          <w:sz w:val="21"/>
          <w:szCs w:val="21"/>
        </w:rPr>
        <w:t>讲谈社《中国的历史》</w:t>
      </w:r>
      <w:r w:rsidR="00490055" w:rsidRPr="0036786D">
        <w:rPr>
          <w:rFonts w:ascii="宋体" w:eastAsia="宋体" w:hAnsi="宋体" w:cs="宋体" w:hint="eastAsia"/>
          <w:bCs/>
          <w:color w:val="000000" w:themeColor="text1"/>
          <w:sz w:val="21"/>
          <w:szCs w:val="21"/>
        </w:rPr>
        <w:t>之一）</w:t>
      </w:r>
      <w:r w:rsidR="000B2443" w:rsidRPr="0036786D">
        <w:rPr>
          <w:rFonts w:ascii="宋体" w:eastAsia="宋体" w:hAnsi="宋体" w:cs="宋体" w:hint="eastAsia"/>
          <w:bCs/>
          <w:color w:val="000000" w:themeColor="text1"/>
          <w:sz w:val="21"/>
          <w:szCs w:val="21"/>
        </w:rPr>
        <w:t>、</w:t>
      </w:r>
      <w:r w:rsidR="00490055" w:rsidRPr="0036786D">
        <w:rPr>
          <w:rFonts w:ascii="宋体" w:eastAsia="宋体" w:hAnsi="宋体" w:cs="宋体" w:hint="eastAsia"/>
          <w:bCs/>
          <w:color w:val="000000" w:themeColor="text1"/>
          <w:sz w:val="21"/>
          <w:szCs w:val="21"/>
        </w:rPr>
        <w:t>《宋史：文治昌盛与武功弱势》（中信出版社</w:t>
      </w:r>
      <w:r w:rsidR="00490055" w:rsidRPr="0036786D">
        <w:rPr>
          <w:rFonts w:ascii="宋体" w:eastAsia="宋体" w:hAnsi="宋体" w:cs="宋体"/>
          <w:bCs/>
          <w:color w:val="000000" w:themeColor="text1"/>
          <w:sz w:val="21"/>
          <w:szCs w:val="21"/>
        </w:rPr>
        <w:t xml:space="preserve"> “新编中国史”</w:t>
      </w:r>
      <w:r w:rsidR="00490055" w:rsidRPr="0036786D">
        <w:rPr>
          <w:rFonts w:ascii="宋体" w:eastAsia="宋体" w:hAnsi="宋体" w:cs="宋体" w:hint="eastAsia"/>
          <w:bCs/>
          <w:color w:val="000000" w:themeColor="text1"/>
          <w:sz w:val="21"/>
          <w:szCs w:val="21"/>
        </w:rPr>
        <w:t>之一</w:t>
      </w:r>
      <w:r w:rsidR="000B2443" w:rsidRPr="0036786D">
        <w:rPr>
          <w:rFonts w:ascii="宋体" w:eastAsia="宋体" w:hAnsi="宋体" w:cs="宋体" w:hint="eastAsia"/>
          <w:bCs/>
          <w:color w:val="000000" w:themeColor="text1"/>
          <w:sz w:val="21"/>
          <w:szCs w:val="21"/>
        </w:rPr>
        <w:t>）</w:t>
      </w:r>
      <w:r w:rsidR="00490055" w:rsidRPr="0036786D">
        <w:rPr>
          <w:rFonts w:ascii="宋体" w:eastAsia="宋体" w:hAnsi="宋体" w:cs="宋体" w:hint="eastAsia"/>
          <w:bCs/>
          <w:color w:val="000000" w:themeColor="text1"/>
          <w:sz w:val="21"/>
          <w:szCs w:val="21"/>
        </w:rPr>
        <w:t>三部著作</w:t>
      </w:r>
      <w:r w:rsidR="000B2443" w:rsidRPr="0036786D">
        <w:rPr>
          <w:rFonts w:ascii="宋体" w:eastAsia="宋体" w:hAnsi="宋体" w:cs="宋体" w:hint="eastAsia"/>
          <w:bCs/>
          <w:color w:val="000000" w:themeColor="text1"/>
          <w:sz w:val="21"/>
          <w:szCs w:val="21"/>
        </w:rPr>
        <w:t>都是宋史研究的名著，而且文笔练达、深入浅出，</w:t>
      </w:r>
      <w:r w:rsidR="000128BC" w:rsidRPr="0036786D">
        <w:rPr>
          <w:rFonts w:ascii="宋体" w:eastAsia="宋体" w:hAnsi="宋体" w:cs="宋体" w:hint="eastAsia"/>
          <w:bCs/>
          <w:color w:val="000000" w:themeColor="text1"/>
          <w:sz w:val="21"/>
          <w:szCs w:val="21"/>
        </w:rPr>
        <w:t>是我们进行</w:t>
      </w:r>
      <w:r w:rsidR="000B2443" w:rsidRPr="0036786D">
        <w:rPr>
          <w:rFonts w:ascii="宋体" w:eastAsia="宋体" w:hAnsi="宋体" w:cs="宋体" w:hint="eastAsia"/>
          <w:bCs/>
          <w:color w:val="000000" w:themeColor="text1"/>
          <w:sz w:val="21"/>
          <w:szCs w:val="21"/>
        </w:rPr>
        <w:t>两宋史阶段复习</w:t>
      </w:r>
      <w:r w:rsidR="000128BC" w:rsidRPr="0036786D">
        <w:rPr>
          <w:rFonts w:ascii="宋体" w:eastAsia="宋体" w:hAnsi="宋体" w:cs="宋体" w:hint="eastAsia"/>
          <w:bCs/>
          <w:color w:val="000000" w:themeColor="text1"/>
          <w:sz w:val="21"/>
          <w:szCs w:val="21"/>
        </w:rPr>
        <w:t>时摘编材料的重要来源</w:t>
      </w:r>
      <w:r w:rsidR="000B2443" w:rsidRPr="0036786D">
        <w:rPr>
          <w:rFonts w:ascii="宋体" w:eastAsia="宋体" w:hAnsi="宋体" w:cs="宋体" w:hint="eastAsia"/>
          <w:bCs/>
          <w:color w:val="000000" w:themeColor="text1"/>
          <w:sz w:val="21"/>
          <w:szCs w:val="21"/>
        </w:rPr>
        <w:t>。</w:t>
      </w:r>
    </w:p>
    <w:p w:rsidR="000128BC" w:rsidRPr="0036786D" w:rsidRDefault="000128BC" w:rsidP="003A33EE">
      <w:pPr>
        <w:spacing w:after="0" w:line="360" w:lineRule="auto"/>
        <w:ind w:firstLineChars="200" w:firstLine="422"/>
        <w:jc w:val="both"/>
        <w:rPr>
          <w:rFonts w:ascii="宋体" w:eastAsia="宋体" w:hAnsi="宋体" w:cs="宋体"/>
          <w:b/>
          <w:bCs/>
          <w:color w:val="000000" w:themeColor="text1"/>
          <w:sz w:val="21"/>
          <w:szCs w:val="21"/>
        </w:rPr>
      </w:pPr>
      <w:r w:rsidRPr="0036786D">
        <w:rPr>
          <w:rFonts w:ascii="宋体" w:eastAsia="宋体" w:hAnsi="宋体" w:cs="宋体" w:hint="eastAsia"/>
          <w:b/>
          <w:bCs/>
          <w:color w:val="000000" w:themeColor="text1"/>
          <w:sz w:val="21"/>
          <w:szCs w:val="21"/>
        </w:rPr>
        <w:t>（二）遵循高考导向，</w:t>
      </w:r>
      <w:r w:rsidR="00115AA1" w:rsidRPr="0036786D">
        <w:rPr>
          <w:rFonts w:ascii="宋体" w:eastAsia="宋体" w:hAnsi="宋体" w:cs="宋体" w:hint="eastAsia"/>
          <w:b/>
          <w:bCs/>
          <w:color w:val="000000" w:themeColor="text1"/>
          <w:sz w:val="21"/>
          <w:szCs w:val="21"/>
        </w:rPr>
        <w:t>补强学生的知识与能力短板</w:t>
      </w:r>
    </w:p>
    <w:p w:rsidR="007B1269" w:rsidRPr="0036786D" w:rsidRDefault="007B1269" w:rsidP="007B1269">
      <w:pPr>
        <w:spacing w:after="0" w:line="360" w:lineRule="auto"/>
        <w:ind w:firstLineChars="200" w:firstLine="420"/>
        <w:jc w:val="both"/>
        <w:rPr>
          <w:rFonts w:ascii="宋体" w:eastAsia="宋体" w:hAnsi="宋体" w:cs="宋体"/>
          <w:bCs/>
          <w:color w:val="000000" w:themeColor="text1"/>
          <w:sz w:val="21"/>
          <w:szCs w:val="21"/>
        </w:rPr>
      </w:pPr>
      <w:r w:rsidRPr="0036786D">
        <w:rPr>
          <w:rFonts w:ascii="宋体" w:eastAsia="宋体" w:hAnsi="宋体" w:cs="宋体" w:hint="eastAsia"/>
          <w:bCs/>
          <w:color w:val="000000" w:themeColor="text1"/>
          <w:sz w:val="21"/>
          <w:szCs w:val="21"/>
        </w:rPr>
        <w:t>渗透课外学术成果的试题体现</w:t>
      </w:r>
      <w:r w:rsidR="008B0A7F" w:rsidRPr="0036786D">
        <w:rPr>
          <w:rFonts w:ascii="宋体" w:eastAsia="宋体" w:hAnsi="宋体" w:cs="宋体" w:hint="eastAsia"/>
          <w:bCs/>
          <w:color w:val="000000" w:themeColor="text1"/>
          <w:sz w:val="21"/>
          <w:szCs w:val="21"/>
        </w:rPr>
        <w:t>出</w:t>
      </w:r>
      <w:r w:rsidRPr="0036786D">
        <w:rPr>
          <w:rFonts w:ascii="宋体" w:eastAsia="宋体" w:hAnsi="宋体" w:cs="宋体" w:hint="eastAsia"/>
          <w:bCs/>
          <w:color w:val="000000" w:themeColor="text1"/>
          <w:sz w:val="21"/>
          <w:szCs w:val="21"/>
        </w:rPr>
        <w:t>命题者</w:t>
      </w:r>
      <w:r w:rsidR="008B0A7F" w:rsidRPr="0036786D">
        <w:rPr>
          <w:rFonts w:ascii="宋体" w:eastAsia="宋体" w:hAnsi="宋体" w:cs="宋体" w:hint="eastAsia"/>
          <w:bCs/>
          <w:color w:val="000000" w:themeColor="text1"/>
          <w:sz w:val="21"/>
          <w:szCs w:val="21"/>
        </w:rPr>
        <w:t>不拘泥于高中教学的专业思考，对我们</w:t>
      </w:r>
      <w:r w:rsidR="00796798" w:rsidRPr="0036786D">
        <w:rPr>
          <w:rFonts w:ascii="宋体" w:eastAsia="宋体" w:hAnsi="宋体" w:cs="宋体" w:hint="eastAsia"/>
          <w:bCs/>
          <w:color w:val="000000" w:themeColor="text1"/>
          <w:sz w:val="21"/>
          <w:szCs w:val="21"/>
        </w:rPr>
        <w:t>深化</w:t>
      </w:r>
      <w:r w:rsidR="008B0A7F" w:rsidRPr="0036786D">
        <w:rPr>
          <w:rFonts w:ascii="宋体" w:eastAsia="宋体" w:hAnsi="宋体" w:cs="宋体" w:hint="eastAsia"/>
          <w:bCs/>
          <w:color w:val="000000" w:themeColor="text1"/>
          <w:sz w:val="21"/>
          <w:szCs w:val="21"/>
        </w:rPr>
        <w:t>复习具有</w:t>
      </w:r>
      <w:r w:rsidR="00831E65" w:rsidRPr="0036786D">
        <w:rPr>
          <w:rFonts w:ascii="宋体" w:eastAsia="宋体" w:hAnsi="宋体" w:cs="宋体" w:hint="eastAsia"/>
          <w:bCs/>
          <w:color w:val="000000" w:themeColor="text1"/>
          <w:sz w:val="21"/>
          <w:szCs w:val="21"/>
        </w:rPr>
        <w:t>一定</w:t>
      </w:r>
      <w:r w:rsidR="00796798" w:rsidRPr="0036786D">
        <w:rPr>
          <w:rFonts w:ascii="宋体" w:eastAsia="宋体" w:hAnsi="宋体" w:cs="宋体" w:hint="eastAsia"/>
          <w:bCs/>
          <w:color w:val="000000" w:themeColor="text1"/>
          <w:sz w:val="21"/>
          <w:szCs w:val="21"/>
        </w:rPr>
        <w:t>的导向作用。二轮复习中，我们需</w:t>
      </w:r>
      <w:r w:rsidR="008B0A7F" w:rsidRPr="0036786D">
        <w:rPr>
          <w:rFonts w:ascii="宋体" w:eastAsia="宋体" w:hAnsi="宋体" w:cs="宋体" w:hint="eastAsia"/>
          <w:bCs/>
          <w:color w:val="000000" w:themeColor="text1"/>
          <w:sz w:val="21"/>
          <w:szCs w:val="21"/>
        </w:rPr>
        <w:t>透过这些试题，反思出学生的知识与能力短板，加以补强。</w:t>
      </w:r>
      <w:r w:rsidR="00831E65" w:rsidRPr="0036786D">
        <w:rPr>
          <w:rFonts w:ascii="宋体" w:eastAsia="宋体" w:hAnsi="宋体" w:cs="宋体" w:hint="eastAsia"/>
          <w:bCs/>
          <w:color w:val="000000" w:themeColor="text1"/>
          <w:sz w:val="21"/>
          <w:szCs w:val="21"/>
        </w:rPr>
        <w:t>例如，</w:t>
      </w:r>
      <w:r w:rsidR="001A5EAA" w:rsidRPr="0036786D">
        <w:rPr>
          <w:rFonts w:ascii="宋体" w:eastAsia="宋体" w:hAnsi="宋体" w:cs="宋体" w:hint="eastAsia"/>
          <w:bCs/>
          <w:color w:val="000000" w:themeColor="text1"/>
          <w:sz w:val="21"/>
          <w:szCs w:val="21"/>
        </w:rPr>
        <w:t>2013年新课标全国卷</w:t>
      </w:r>
      <w:r w:rsidR="004F3F11" w:rsidRPr="0036786D">
        <w:rPr>
          <w:rFonts w:ascii="宋体" w:eastAsia="宋体" w:hAnsi="宋体" w:cs="宋体" w:hint="eastAsia"/>
          <w:bCs/>
          <w:color w:val="000000" w:themeColor="text1"/>
          <w:sz w:val="21"/>
          <w:szCs w:val="21"/>
        </w:rPr>
        <w:t>Ⅰ</w:t>
      </w:r>
      <w:r w:rsidR="001A5EAA" w:rsidRPr="0036786D">
        <w:rPr>
          <w:rFonts w:ascii="宋体" w:eastAsia="宋体" w:hAnsi="宋体" w:cs="宋体" w:hint="eastAsia"/>
          <w:bCs/>
          <w:color w:val="000000" w:themeColor="text1"/>
          <w:sz w:val="21"/>
          <w:szCs w:val="21"/>
        </w:rPr>
        <w:t>第45</w:t>
      </w:r>
      <w:r w:rsidR="004E68BB" w:rsidRPr="0036786D">
        <w:rPr>
          <w:rFonts w:ascii="宋体" w:eastAsia="宋体" w:hAnsi="宋体" w:cs="宋体" w:hint="eastAsia"/>
          <w:bCs/>
          <w:color w:val="000000" w:themeColor="text1"/>
          <w:sz w:val="21"/>
          <w:szCs w:val="21"/>
        </w:rPr>
        <w:t>题涉及清末新政</w:t>
      </w:r>
      <w:r w:rsidR="000E0323" w:rsidRPr="0036786D">
        <w:rPr>
          <w:rFonts w:ascii="宋体" w:eastAsia="宋体" w:hAnsi="宋体" w:cs="宋体" w:hint="eastAsia"/>
          <w:bCs/>
          <w:color w:val="000000" w:themeColor="text1"/>
          <w:sz w:val="21"/>
          <w:szCs w:val="21"/>
        </w:rPr>
        <w:t>。</w:t>
      </w:r>
      <w:r w:rsidR="0060107F" w:rsidRPr="0036786D">
        <w:rPr>
          <w:rFonts w:ascii="宋体" w:eastAsia="宋体" w:hAnsi="宋体" w:cs="宋体" w:hint="eastAsia"/>
          <w:bCs/>
          <w:color w:val="000000" w:themeColor="text1"/>
          <w:sz w:val="21"/>
          <w:szCs w:val="21"/>
        </w:rPr>
        <w:t>结合中国近代史整理脉络思考</w:t>
      </w:r>
      <w:r w:rsidR="004E68BB" w:rsidRPr="0036786D">
        <w:rPr>
          <w:rFonts w:ascii="宋体" w:eastAsia="宋体" w:hAnsi="宋体" w:cs="宋体" w:hint="eastAsia"/>
          <w:bCs/>
          <w:color w:val="000000" w:themeColor="text1"/>
          <w:sz w:val="21"/>
          <w:szCs w:val="21"/>
        </w:rPr>
        <w:t>可知</w:t>
      </w:r>
      <w:r w:rsidR="0060107F" w:rsidRPr="0036786D">
        <w:rPr>
          <w:rFonts w:ascii="宋体" w:eastAsia="宋体" w:hAnsi="宋体" w:cs="宋体" w:hint="eastAsia"/>
          <w:bCs/>
          <w:color w:val="000000" w:themeColor="text1"/>
          <w:sz w:val="21"/>
          <w:szCs w:val="21"/>
        </w:rPr>
        <w:t>，</w:t>
      </w:r>
      <w:r w:rsidR="001A5EAA" w:rsidRPr="0036786D">
        <w:rPr>
          <w:rFonts w:ascii="宋体" w:eastAsia="宋体" w:hAnsi="宋体" w:cs="宋体" w:hint="eastAsia"/>
          <w:bCs/>
          <w:color w:val="000000" w:themeColor="text1"/>
          <w:sz w:val="21"/>
          <w:szCs w:val="21"/>
        </w:rPr>
        <w:t>清末新政对于辛亥革命乃至</w:t>
      </w:r>
      <w:r w:rsidR="0060107F" w:rsidRPr="0036786D">
        <w:rPr>
          <w:rFonts w:ascii="宋体" w:eastAsia="宋体" w:hAnsi="宋体" w:cs="宋体" w:hint="eastAsia"/>
          <w:bCs/>
          <w:color w:val="000000" w:themeColor="text1"/>
          <w:sz w:val="21"/>
          <w:szCs w:val="21"/>
        </w:rPr>
        <w:t>之后的中国</w:t>
      </w:r>
      <w:r w:rsidR="001A5EAA" w:rsidRPr="0036786D">
        <w:rPr>
          <w:rFonts w:ascii="宋体" w:eastAsia="宋体" w:hAnsi="宋体" w:cs="宋体" w:hint="eastAsia"/>
          <w:bCs/>
          <w:color w:val="000000" w:themeColor="text1"/>
          <w:sz w:val="21"/>
          <w:szCs w:val="21"/>
        </w:rPr>
        <w:t>历史走向</w:t>
      </w:r>
      <w:r w:rsidR="0060107F" w:rsidRPr="0036786D">
        <w:rPr>
          <w:rFonts w:ascii="宋体" w:eastAsia="宋体" w:hAnsi="宋体" w:cs="宋体" w:hint="eastAsia"/>
          <w:bCs/>
          <w:color w:val="000000" w:themeColor="text1"/>
          <w:sz w:val="21"/>
          <w:szCs w:val="21"/>
        </w:rPr>
        <w:t>都有着</w:t>
      </w:r>
      <w:r w:rsidR="00796798" w:rsidRPr="0036786D">
        <w:rPr>
          <w:rFonts w:ascii="宋体" w:eastAsia="宋体" w:hAnsi="宋体" w:cs="宋体" w:hint="eastAsia"/>
          <w:bCs/>
          <w:color w:val="000000" w:themeColor="text1"/>
          <w:sz w:val="21"/>
          <w:szCs w:val="21"/>
        </w:rPr>
        <w:t>不可忽视的</w:t>
      </w:r>
      <w:r w:rsidR="0060107F" w:rsidRPr="0036786D">
        <w:rPr>
          <w:rFonts w:ascii="宋体" w:eastAsia="宋体" w:hAnsi="宋体" w:cs="宋体" w:hint="eastAsia"/>
          <w:bCs/>
          <w:color w:val="000000" w:themeColor="text1"/>
          <w:sz w:val="21"/>
          <w:szCs w:val="21"/>
        </w:rPr>
        <w:t>影响，</w:t>
      </w:r>
      <w:r w:rsidR="004E68BB" w:rsidRPr="0036786D">
        <w:rPr>
          <w:rFonts w:ascii="宋体" w:eastAsia="宋体" w:hAnsi="宋体" w:cs="宋体" w:hint="eastAsia"/>
          <w:bCs/>
          <w:color w:val="000000" w:themeColor="text1"/>
          <w:sz w:val="21"/>
          <w:szCs w:val="21"/>
        </w:rPr>
        <w:t>有必要</w:t>
      </w:r>
      <w:r w:rsidR="0060107F" w:rsidRPr="0036786D">
        <w:rPr>
          <w:rFonts w:ascii="宋体" w:eastAsia="宋体" w:hAnsi="宋体" w:cs="宋体" w:hint="eastAsia"/>
          <w:bCs/>
          <w:color w:val="000000" w:themeColor="text1"/>
          <w:sz w:val="21"/>
          <w:szCs w:val="21"/>
        </w:rPr>
        <w:t>在二轮复习中增加对清末新政相关内容的讲解。</w:t>
      </w:r>
      <w:r w:rsidR="00831E65" w:rsidRPr="0036786D">
        <w:rPr>
          <w:rFonts w:ascii="宋体" w:eastAsia="宋体" w:hAnsi="宋体" w:cs="宋体" w:hint="eastAsia"/>
          <w:bCs/>
          <w:color w:val="000000" w:themeColor="text1"/>
          <w:sz w:val="21"/>
          <w:szCs w:val="21"/>
        </w:rPr>
        <w:t>又</w:t>
      </w:r>
      <w:r w:rsidR="00831E65" w:rsidRPr="0036786D">
        <w:rPr>
          <w:rFonts w:asciiTheme="minorEastAsia" w:eastAsiaTheme="minorEastAsia" w:hAnsiTheme="minorEastAsia" w:hint="eastAsia"/>
          <w:color w:val="000000" w:themeColor="text1"/>
          <w:sz w:val="21"/>
          <w:szCs w:val="21"/>
        </w:rPr>
        <w:t>如</w:t>
      </w:r>
      <w:r w:rsidR="00A24F35" w:rsidRPr="0036786D">
        <w:rPr>
          <w:rFonts w:asciiTheme="minorEastAsia" w:eastAsiaTheme="minorEastAsia" w:hAnsiTheme="minorEastAsia" w:hint="eastAsia"/>
          <w:color w:val="000000" w:themeColor="text1"/>
          <w:sz w:val="21"/>
          <w:szCs w:val="21"/>
        </w:rPr>
        <w:t>，</w:t>
      </w:r>
      <w:r w:rsidR="00831E65" w:rsidRPr="0036786D">
        <w:rPr>
          <w:rFonts w:asciiTheme="minorEastAsia" w:eastAsiaTheme="minorEastAsia" w:hAnsiTheme="minorEastAsia" w:hint="eastAsia"/>
          <w:color w:val="000000" w:themeColor="text1"/>
          <w:sz w:val="21"/>
          <w:szCs w:val="21"/>
        </w:rPr>
        <w:t>2018年全国</w:t>
      </w:r>
      <w:r w:rsidR="00796798" w:rsidRPr="0036786D">
        <w:rPr>
          <w:rFonts w:asciiTheme="minorEastAsia" w:eastAsiaTheme="minorEastAsia" w:hAnsiTheme="minorEastAsia" w:hint="eastAsia"/>
          <w:color w:val="000000" w:themeColor="text1"/>
          <w:sz w:val="21"/>
          <w:szCs w:val="21"/>
        </w:rPr>
        <w:t>卷</w:t>
      </w:r>
      <w:r w:rsidR="00831E65" w:rsidRPr="0036786D">
        <w:rPr>
          <w:rFonts w:asciiTheme="minorEastAsia" w:eastAsiaTheme="minorEastAsia" w:hAnsiTheme="minorEastAsia" w:hint="eastAsia"/>
          <w:color w:val="000000" w:themeColor="text1"/>
          <w:sz w:val="21"/>
          <w:szCs w:val="21"/>
        </w:rPr>
        <w:t>Ⅰ第34题，通过不同时期学者观点的介绍，要求学生认识到：关于工业革命首先在英国发生的认识随着研究视角拓展而趋于全面。</w:t>
      </w:r>
      <w:r w:rsidR="000E0323" w:rsidRPr="0036786D">
        <w:rPr>
          <w:rFonts w:asciiTheme="minorEastAsia" w:eastAsiaTheme="minorEastAsia" w:hAnsiTheme="minorEastAsia" w:hint="eastAsia"/>
          <w:color w:val="000000" w:themeColor="text1"/>
          <w:sz w:val="21"/>
          <w:szCs w:val="21"/>
        </w:rPr>
        <w:t>这可启迪学生</w:t>
      </w:r>
      <w:r w:rsidR="00831E65" w:rsidRPr="0036786D">
        <w:rPr>
          <w:rFonts w:asciiTheme="minorEastAsia" w:eastAsiaTheme="minorEastAsia" w:hAnsiTheme="minorEastAsia" w:hint="eastAsia"/>
          <w:color w:val="000000" w:themeColor="text1"/>
          <w:sz w:val="21"/>
          <w:szCs w:val="21"/>
        </w:rPr>
        <w:t>：历史解释并非固化的，而会</w:t>
      </w:r>
      <w:r w:rsidR="00A24F35" w:rsidRPr="0036786D">
        <w:rPr>
          <w:rFonts w:asciiTheme="minorEastAsia" w:eastAsiaTheme="minorEastAsia" w:hAnsiTheme="minorEastAsia" w:hint="eastAsia"/>
          <w:color w:val="000000" w:themeColor="text1"/>
          <w:sz w:val="21"/>
          <w:szCs w:val="21"/>
        </w:rPr>
        <w:t>受时代的变迁、研究立场的差异与研究视角的拓展等因素影响不断推陈出新。</w:t>
      </w:r>
    </w:p>
    <w:p w:rsidR="000128BC" w:rsidRPr="0036786D" w:rsidRDefault="000128BC" w:rsidP="000128BC">
      <w:pPr>
        <w:spacing w:after="0" w:line="360" w:lineRule="auto"/>
        <w:ind w:firstLineChars="200" w:firstLine="422"/>
        <w:jc w:val="both"/>
        <w:rPr>
          <w:rFonts w:ascii="宋体" w:eastAsia="宋体" w:hAnsi="宋体" w:cs="宋体"/>
          <w:b/>
          <w:bCs/>
          <w:color w:val="000000" w:themeColor="text1"/>
          <w:sz w:val="21"/>
          <w:szCs w:val="21"/>
        </w:rPr>
      </w:pPr>
      <w:r w:rsidRPr="0036786D">
        <w:rPr>
          <w:rFonts w:ascii="宋体" w:eastAsia="宋体" w:hAnsi="宋体" w:cs="宋体" w:hint="eastAsia"/>
          <w:b/>
          <w:bCs/>
          <w:color w:val="000000" w:themeColor="text1"/>
          <w:sz w:val="21"/>
          <w:szCs w:val="21"/>
        </w:rPr>
        <w:t>（三）推介经典篇章，让学生接受学术熏陶</w:t>
      </w:r>
    </w:p>
    <w:p w:rsidR="000128BC" w:rsidRPr="0036786D" w:rsidRDefault="00796798" w:rsidP="000128BC">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不积跬步无以至千里，学生要从容应对渗透课外学术成果的</w:t>
      </w:r>
      <w:r w:rsidR="000128BC" w:rsidRPr="0036786D">
        <w:rPr>
          <w:rFonts w:ascii="宋体" w:eastAsia="宋体" w:hAnsi="宋体" w:cs="宋体" w:hint="eastAsia"/>
          <w:color w:val="000000" w:themeColor="text1"/>
          <w:sz w:val="21"/>
          <w:szCs w:val="21"/>
        </w:rPr>
        <w:t>试题，平时还得广泛涉猎历史学术成果，进而熟悉学术语言的表达方式，开拓学术视野，涵养史学素养。由于高三学习任务非常繁重，毕业班的学生没有充足的时间与精力阅读大部头的论著,这就需要老师</w:t>
      </w:r>
      <w:r w:rsidR="000128BC" w:rsidRPr="0036786D">
        <w:rPr>
          <w:rFonts w:ascii="宋体" w:eastAsia="宋体" w:hAnsi="宋体" w:cs="宋体" w:hint="eastAsia"/>
          <w:color w:val="000000" w:themeColor="text1"/>
          <w:sz w:val="21"/>
          <w:szCs w:val="21"/>
        </w:rPr>
        <w:lastRenderedPageBreak/>
        <w:t>为他们精心挑选推荐经典篇章。例如，杨宁一主编的《历史学习新视野新知识》一书各部分都是历史专业领域的名家执笔，兼具专业性、前沿性与通俗性等特征，能为高三学生提供有益的学术补充。在进行近代世界与近代中国的复习时，都绕不开“民族主义”这一概念，教材中又没有系统的介绍，老师在课堂进行补充讲解的同时，可以印发《历史学习新视野新知识》中《民族国家与民族主义》一节给学生阅读，帮助学生在突破难点的同时，接受学术熏陶。</w:t>
      </w:r>
    </w:p>
    <w:p w:rsidR="003A33EE" w:rsidRPr="0036786D" w:rsidRDefault="003A33EE" w:rsidP="003A33EE">
      <w:pPr>
        <w:spacing w:after="0" w:line="360" w:lineRule="auto"/>
        <w:ind w:firstLineChars="200" w:firstLine="422"/>
        <w:jc w:val="both"/>
        <w:rPr>
          <w:rFonts w:ascii="宋体" w:eastAsia="宋体" w:hAnsi="宋体" w:cs="宋体"/>
          <w:b/>
          <w:bCs/>
          <w:color w:val="000000" w:themeColor="text1"/>
          <w:sz w:val="21"/>
          <w:szCs w:val="21"/>
        </w:rPr>
      </w:pPr>
      <w:r w:rsidRPr="0036786D">
        <w:rPr>
          <w:rFonts w:ascii="宋体" w:eastAsia="宋体" w:hAnsi="宋体" w:cs="宋体" w:hint="eastAsia"/>
          <w:b/>
          <w:bCs/>
          <w:color w:val="000000" w:themeColor="text1"/>
          <w:sz w:val="21"/>
          <w:szCs w:val="21"/>
        </w:rPr>
        <w:t>（</w:t>
      </w:r>
      <w:r w:rsidR="008B0A7F" w:rsidRPr="0036786D">
        <w:rPr>
          <w:rFonts w:ascii="宋体" w:eastAsia="宋体" w:hAnsi="宋体" w:cs="宋体" w:hint="eastAsia"/>
          <w:b/>
          <w:bCs/>
          <w:color w:val="000000" w:themeColor="text1"/>
          <w:sz w:val="21"/>
          <w:szCs w:val="21"/>
        </w:rPr>
        <w:t>四</w:t>
      </w:r>
      <w:r w:rsidRPr="0036786D">
        <w:rPr>
          <w:rFonts w:ascii="宋体" w:eastAsia="宋体" w:hAnsi="宋体" w:cs="宋体" w:hint="eastAsia"/>
          <w:b/>
          <w:bCs/>
          <w:color w:val="000000" w:themeColor="text1"/>
          <w:sz w:val="21"/>
          <w:szCs w:val="21"/>
        </w:rPr>
        <w:t>）</w:t>
      </w:r>
      <w:r w:rsidR="001A35F9" w:rsidRPr="0036786D">
        <w:rPr>
          <w:rFonts w:ascii="宋体" w:eastAsia="宋体" w:hAnsi="宋体" w:cs="宋体" w:hint="eastAsia"/>
          <w:b/>
          <w:bCs/>
          <w:color w:val="000000" w:themeColor="text1"/>
          <w:sz w:val="21"/>
          <w:szCs w:val="21"/>
        </w:rPr>
        <w:t>依托高考真题，对渗透课外学术成果的试题</w:t>
      </w:r>
      <w:r w:rsidR="005D2E2C" w:rsidRPr="0036786D">
        <w:rPr>
          <w:rFonts w:ascii="宋体" w:eastAsia="宋体" w:hAnsi="宋体" w:cs="宋体" w:hint="eastAsia"/>
          <w:b/>
          <w:bCs/>
          <w:color w:val="000000" w:themeColor="text1"/>
          <w:sz w:val="21"/>
          <w:szCs w:val="21"/>
        </w:rPr>
        <w:t>进行专题复习</w:t>
      </w:r>
    </w:p>
    <w:p w:rsidR="000B2443" w:rsidRPr="0036786D" w:rsidRDefault="000B2443" w:rsidP="000B2443">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bCs/>
          <w:color w:val="000000" w:themeColor="text1"/>
          <w:sz w:val="21"/>
          <w:szCs w:val="21"/>
        </w:rPr>
        <w:t>各类试题解题技巧的强化训练也是二轮复习的一项重要任务。鉴于渗透课外学术成果的试题</w:t>
      </w:r>
      <w:r w:rsidR="000311D0" w:rsidRPr="0036786D">
        <w:rPr>
          <w:rFonts w:ascii="宋体" w:eastAsia="宋体" w:hAnsi="宋体" w:cs="宋体" w:hint="eastAsia"/>
          <w:bCs/>
          <w:color w:val="000000" w:themeColor="text1"/>
          <w:sz w:val="21"/>
          <w:szCs w:val="21"/>
        </w:rPr>
        <w:t>在高考历史试卷中有着较大比重，很有必要依托高考真题，对这类型的试题进行专题复习。建议老师依据</w:t>
      </w:r>
      <w:r w:rsidR="000311D0" w:rsidRPr="0036786D">
        <w:rPr>
          <w:rFonts w:ascii="宋体" w:eastAsia="宋体" w:hAnsi="宋体" w:cs="宋体" w:hint="eastAsia"/>
          <w:color w:val="000000" w:themeColor="text1"/>
          <w:sz w:val="21"/>
          <w:szCs w:val="21"/>
        </w:rPr>
        <w:t>学术成果进入试题的五种途径对相关真题进行更精准地分门别类，剖析各类试题的特征</w:t>
      </w:r>
      <w:r w:rsidR="00796798" w:rsidRPr="0036786D">
        <w:rPr>
          <w:rFonts w:ascii="宋体" w:eastAsia="宋体" w:hAnsi="宋体" w:cs="宋体" w:hint="eastAsia"/>
          <w:color w:val="000000" w:themeColor="text1"/>
          <w:sz w:val="21"/>
          <w:szCs w:val="21"/>
        </w:rPr>
        <w:t>与</w:t>
      </w:r>
      <w:r w:rsidR="00A72C0D" w:rsidRPr="0036786D">
        <w:rPr>
          <w:rFonts w:ascii="宋体" w:eastAsia="宋体" w:hAnsi="宋体" w:cs="宋体" w:hint="eastAsia"/>
          <w:color w:val="000000" w:themeColor="text1"/>
          <w:sz w:val="21"/>
          <w:szCs w:val="21"/>
        </w:rPr>
        <w:t>解答技巧，在深度备课的基础上安排</w:t>
      </w:r>
      <w:r w:rsidR="00575D59" w:rsidRPr="0036786D">
        <w:rPr>
          <w:rFonts w:ascii="宋体" w:eastAsia="宋体" w:hAnsi="宋体" w:cs="宋体" w:hint="eastAsia"/>
          <w:color w:val="000000" w:themeColor="text1"/>
          <w:sz w:val="21"/>
          <w:szCs w:val="21"/>
        </w:rPr>
        <w:t>两</w:t>
      </w:r>
      <w:r w:rsidR="00A72C0D" w:rsidRPr="0036786D">
        <w:rPr>
          <w:rFonts w:ascii="宋体" w:eastAsia="宋体" w:hAnsi="宋体" w:cs="宋体" w:hint="eastAsia"/>
          <w:color w:val="000000" w:themeColor="text1"/>
          <w:sz w:val="21"/>
          <w:szCs w:val="21"/>
        </w:rPr>
        <w:t>课时左右的时间对学生进行专项辅导。</w:t>
      </w:r>
      <w:r w:rsidR="00575D59" w:rsidRPr="0036786D">
        <w:rPr>
          <w:rFonts w:ascii="宋体" w:eastAsia="宋体" w:hAnsi="宋体" w:cs="宋体" w:hint="eastAsia"/>
          <w:color w:val="000000" w:themeColor="text1"/>
          <w:sz w:val="21"/>
          <w:szCs w:val="21"/>
        </w:rPr>
        <w:t>由于</w:t>
      </w:r>
      <w:r w:rsidR="00575D59" w:rsidRPr="0036786D">
        <w:rPr>
          <w:rFonts w:ascii="宋体" w:eastAsia="宋体" w:hAnsi="宋体" w:cs="宋体" w:hint="eastAsia"/>
          <w:bCs/>
          <w:color w:val="000000" w:themeColor="text1"/>
          <w:sz w:val="21"/>
          <w:szCs w:val="21"/>
        </w:rPr>
        <w:t>渗透课外学术成果的试题一个总体特征是基于教材又高于教材，</w:t>
      </w:r>
      <w:r w:rsidR="00DD65ED" w:rsidRPr="0036786D">
        <w:rPr>
          <w:rFonts w:ascii="宋体" w:eastAsia="宋体" w:hAnsi="宋体" w:cs="宋体" w:hint="eastAsia"/>
          <w:bCs/>
          <w:color w:val="000000" w:themeColor="text1"/>
          <w:sz w:val="21"/>
          <w:szCs w:val="21"/>
        </w:rPr>
        <w:t>不局限</w:t>
      </w:r>
      <w:r w:rsidR="00575D59" w:rsidRPr="0036786D">
        <w:rPr>
          <w:rFonts w:ascii="宋体" w:eastAsia="宋体" w:hAnsi="宋体" w:cs="宋体" w:hint="eastAsia"/>
          <w:bCs/>
          <w:color w:val="000000" w:themeColor="text1"/>
          <w:sz w:val="21"/>
          <w:szCs w:val="21"/>
        </w:rPr>
        <w:t>于教材的视野</w:t>
      </w:r>
      <w:r w:rsidR="00DD65ED" w:rsidRPr="0036786D">
        <w:rPr>
          <w:rFonts w:ascii="宋体" w:eastAsia="宋体" w:hAnsi="宋体" w:cs="宋体" w:hint="eastAsia"/>
          <w:bCs/>
          <w:color w:val="000000" w:themeColor="text1"/>
          <w:sz w:val="21"/>
          <w:szCs w:val="21"/>
        </w:rPr>
        <w:t>与</w:t>
      </w:r>
      <w:r w:rsidR="00575D59" w:rsidRPr="0036786D">
        <w:rPr>
          <w:rFonts w:ascii="宋体" w:eastAsia="宋体" w:hAnsi="宋体" w:cs="宋体" w:hint="eastAsia"/>
          <w:bCs/>
          <w:color w:val="000000" w:themeColor="text1"/>
          <w:sz w:val="21"/>
          <w:szCs w:val="21"/>
        </w:rPr>
        <w:t>定论</w:t>
      </w:r>
      <w:r w:rsidR="00DD65ED" w:rsidRPr="0036786D">
        <w:rPr>
          <w:rFonts w:ascii="宋体" w:eastAsia="宋体" w:hAnsi="宋体" w:cs="宋体" w:hint="eastAsia"/>
          <w:bCs/>
          <w:color w:val="000000" w:themeColor="text1"/>
          <w:sz w:val="21"/>
          <w:szCs w:val="21"/>
        </w:rPr>
        <w:t>，专题复习时</w:t>
      </w:r>
      <w:r w:rsidR="00DD65ED" w:rsidRPr="0036786D">
        <w:rPr>
          <w:rFonts w:ascii="宋体" w:eastAsia="宋体" w:hAnsi="宋体" w:cs="宋体" w:hint="eastAsia"/>
          <w:color w:val="000000" w:themeColor="text1"/>
          <w:sz w:val="21"/>
          <w:szCs w:val="21"/>
        </w:rPr>
        <w:t>要创设新情景新材料新问题，引导学生摆脱教条主义本本主义的束缚，强化论从史出，依据材料证据形成结论的思维方式，培养史料实证素养与历史解释素养。</w:t>
      </w:r>
    </w:p>
    <w:p w:rsidR="00CA56A2" w:rsidRPr="0036786D" w:rsidRDefault="00CA56A2" w:rsidP="00CA56A2">
      <w:pPr>
        <w:spacing w:after="0" w:line="360" w:lineRule="auto"/>
        <w:ind w:firstLineChars="200" w:firstLine="420"/>
        <w:jc w:val="both"/>
        <w:rPr>
          <w:rFonts w:ascii="宋体" w:eastAsia="宋体" w:hAnsi="宋体" w:cs="宋体"/>
          <w:bCs/>
          <w:color w:val="000000" w:themeColor="text1"/>
          <w:sz w:val="21"/>
          <w:szCs w:val="21"/>
        </w:rPr>
      </w:pPr>
      <w:r w:rsidRPr="0036786D">
        <w:rPr>
          <w:rFonts w:ascii="宋体" w:eastAsia="宋体" w:hAnsi="宋体" w:cs="宋体" w:hint="eastAsia"/>
          <w:color w:val="000000" w:themeColor="text1"/>
          <w:sz w:val="21"/>
          <w:szCs w:val="21"/>
        </w:rPr>
        <w:t>总而言之，</w:t>
      </w:r>
      <w:r w:rsidRPr="0036786D">
        <w:rPr>
          <w:rFonts w:ascii="宋体" w:eastAsia="宋体" w:hAnsi="宋体" w:cs="宋体" w:hint="eastAsia"/>
          <w:bCs/>
          <w:color w:val="000000" w:themeColor="text1"/>
          <w:sz w:val="21"/>
          <w:szCs w:val="21"/>
        </w:rPr>
        <w:t>渗透课外学术成果的试题在今后的高考历史试卷中仍将是较为常见的</w:t>
      </w:r>
      <w:r w:rsidR="00B737C9" w:rsidRPr="0036786D">
        <w:rPr>
          <w:rFonts w:ascii="宋体" w:eastAsia="宋体" w:hAnsi="宋体" w:cs="宋体" w:hint="eastAsia"/>
          <w:bCs/>
          <w:color w:val="000000" w:themeColor="text1"/>
          <w:sz w:val="21"/>
          <w:szCs w:val="21"/>
        </w:rPr>
        <w:t>类型</w:t>
      </w:r>
      <w:r w:rsidRPr="0036786D">
        <w:rPr>
          <w:rFonts w:ascii="宋体" w:eastAsia="宋体" w:hAnsi="宋体" w:cs="宋体" w:hint="eastAsia"/>
          <w:bCs/>
          <w:color w:val="000000" w:themeColor="text1"/>
          <w:sz w:val="21"/>
          <w:szCs w:val="21"/>
        </w:rPr>
        <w:t>。在二轮复习中，我们需要借助以往的高考真题，更深入地剖析这类试题的特征，进而一方面完善二轮复习规划，另一方面</w:t>
      </w:r>
      <w:r w:rsidR="000E0323" w:rsidRPr="0036786D">
        <w:rPr>
          <w:rFonts w:ascii="宋体" w:eastAsia="宋体" w:hAnsi="宋体" w:cs="宋体" w:hint="eastAsia"/>
          <w:bCs/>
          <w:color w:val="000000" w:themeColor="text1"/>
          <w:sz w:val="21"/>
          <w:szCs w:val="21"/>
        </w:rPr>
        <w:t>探索</w:t>
      </w:r>
      <w:r w:rsidRPr="0036786D">
        <w:rPr>
          <w:rFonts w:ascii="宋体" w:eastAsia="宋体" w:hAnsi="宋体" w:cs="宋体" w:hint="eastAsia"/>
          <w:bCs/>
          <w:color w:val="000000" w:themeColor="text1"/>
          <w:sz w:val="21"/>
          <w:szCs w:val="21"/>
        </w:rPr>
        <w:t>有针对性的解题方法，帮助学生改进历史学习，更好地应对高考的挑战。</w:t>
      </w:r>
    </w:p>
    <w:p w:rsidR="00CA56A2" w:rsidRPr="0036786D" w:rsidRDefault="00CA56A2" w:rsidP="000B2443">
      <w:pPr>
        <w:spacing w:after="0" w:line="360" w:lineRule="auto"/>
        <w:ind w:firstLineChars="200" w:firstLine="420"/>
        <w:jc w:val="both"/>
        <w:rPr>
          <w:rFonts w:ascii="宋体" w:eastAsia="宋体" w:hAnsi="宋体" w:cs="宋体"/>
          <w:bCs/>
          <w:color w:val="000000" w:themeColor="text1"/>
          <w:sz w:val="21"/>
          <w:szCs w:val="21"/>
        </w:rPr>
      </w:pPr>
    </w:p>
    <w:p w:rsidR="00300F99" w:rsidRPr="0036786D" w:rsidRDefault="00407770" w:rsidP="005B0AFA">
      <w:pPr>
        <w:spacing w:after="0" w:line="360" w:lineRule="auto"/>
        <w:jc w:val="right"/>
        <w:rPr>
          <w:rFonts w:ascii="楷体" w:eastAsia="楷体" w:hAnsi="楷体" w:cs="楷体"/>
          <w:color w:val="000000" w:themeColor="text1"/>
          <w:sz w:val="21"/>
          <w:szCs w:val="21"/>
        </w:rPr>
      </w:pPr>
      <w:r w:rsidRPr="0036786D">
        <w:rPr>
          <w:rFonts w:ascii="楷体" w:eastAsia="楷体" w:hAnsi="楷体" w:cs="楷体" w:hint="eastAsia"/>
          <w:color w:val="000000" w:themeColor="text1"/>
          <w:sz w:val="21"/>
          <w:szCs w:val="21"/>
        </w:rPr>
        <w:t>（作者单位：福建省南安国光中学）</w:t>
      </w:r>
    </w:p>
    <w:p w:rsidR="00300F99" w:rsidRPr="0036786D" w:rsidRDefault="00300F99">
      <w:pPr>
        <w:spacing w:after="0" w:line="360" w:lineRule="auto"/>
        <w:rPr>
          <w:rFonts w:ascii="宋体" w:eastAsia="宋体" w:hAnsi="宋体" w:cs="宋体"/>
          <w:color w:val="000000" w:themeColor="text1"/>
          <w:sz w:val="21"/>
          <w:szCs w:val="21"/>
        </w:rPr>
      </w:pPr>
    </w:p>
    <w:p w:rsidR="00300F99" w:rsidRPr="0036786D" w:rsidRDefault="00407770">
      <w:pPr>
        <w:spacing w:after="0" w:line="360" w:lineRule="auto"/>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参考文献：</w:t>
      </w:r>
    </w:p>
    <w:p w:rsidR="00300F99" w:rsidRPr="0036786D" w:rsidRDefault="00407770">
      <w:pPr>
        <w:spacing w:after="0" w:line="360" w:lineRule="auto"/>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[1] 、[2]、 [3]、 [4]  黄牧航. 历史科高考命题中运用学术研究新成果初探：基于2007—2013年高考历史试题的统计分析[J].历史教学，2014（1）:10-17.</w:t>
      </w:r>
    </w:p>
    <w:p w:rsidR="00300F99" w:rsidRPr="0036786D" w:rsidRDefault="00300F99">
      <w:pPr>
        <w:spacing w:after="0" w:line="360" w:lineRule="auto"/>
        <w:ind w:firstLineChars="200" w:firstLine="420"/>
        <w:jc w:val="both"/>
        <w:rPr>
          <w:rFonts w:ascii="宋体" w:eastAsia="宋体" w:hAnsi="宋体" w:cs="宋体"/>
          <w:color w:val="000000" w:themeColor="text1"/>
          <w:sz w:val="21"/>
          <w:szCs w:val="21"/>
        </w:rPr>
      </w:pPr>
    </w:p>
    <w:p w:rsidR="00300F99" w:rsidRPr="0036786D" w:rsidRDefault="00407770">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作者简介：</w:t>
      </w:r>
    </w:p>
    <w:p w:rsidR="00300F99" w:rsidRPr="0036786D" w:rsidRDefault="005B0AFA">
      <w:pPr>
        <w:spacing w:after="0" w:line="360" w:lineRule="auto"/>
        <w:ind w:firstLineChars="200" w:firstLine="420"/>
        <w:jc w:val="both"/>
        <w:rPr>
          <w:rFonts w:ascii="宋体" w:eastAsia="宋体" w:hAnsi="宋体" w:cs="宋体"/>
          <w:color w:val="000000" w:themeColor="text1"/>
          <w:sz w:val="21"/>
          <w:szCs w:val="21"/>
        </w:rPr>
      </w:pPr>
      <w:r w:rsidRPr="0036786D">
        <w:rPr>
          <w:rFonts w:ascii="宋体" w:eastAsia="宋体" w:hAnsi="宋体" w:cs="宋体" w:hint="eastAsia"/>
          <w:color w:val="000000" w:themeColor="text1"/>
          <w:sz w:val="21"/>
          <w:szCs w:val="21"/>
        </w:rPr>
        <w:t>林义元，历史学硕士，毕业院校：福建师范大学</w:t>
      </w:r>
      <w:r w:rsidR="00407770" w:rsidRPr="0036786D">
        <w:rPr>
          <w:rFonts w:ascii="宋体" w:eastAsia="宋体" w:hAnsi="宋体" w:cs="宋体" w:hint="eastAsia"/>
          <w:color w:val="000000" w:themeColor="text1"/>
          <w:sz w:val="21"/>
          <w:szCs w:val="21"/>
        </w:rPr>
        <w:t>；电话：13599723169；qq:278833637；邮箱：</w:t>
      </w:r>
      <w:hyperlink r:id="rId9" w:history="1">
        <w:r w:rsidR="00407770" w:rsidRPr="0036786D">
          <w:rPr>
            <w:rStyle w:val="a8"/>
            <w:rFonts w:ascii="宋体" w:eastAsia="宋体" w:hAnsi="宋体" w:cs="宋体" w:hint="eastAsia"/>
            <w:color w:val="000000" w:themeColor="text1"/>
            <w:sz w:val="21"/>
            <w:szCs w:val="21"/>
          </w:rPr>
          <w:t>yiyuanlin85@sina.com</w:t>
        </w:r>
      </w:hyperlink>
    </w:p>
    <w:p w:rsidR="00300F99" w:rsidRPr="0036786D" w:rsidRDefault="00300F99">
      <w:pPr>
        <w:spacing w:after="0" w:line="360" w:lineRule="auto"/>
        <w:ind w:firstLineChars="200" w:firstLine="420"/>
        <w:jc w:val="both"/>
        <w:rPr>
          <w:rFonts w:ascii="宋体" w:eastAsia="宋体" w:hAnsi="宋体" w:cs="宋体"/>
          <w:color w:val="000000" w:themeColor="text1"/>
          <w:sz w:val="21"/>
          <w:szCs w:val="21"/>
        </w:rPr>
      </w:pPr>
    </w:p>
    <w:sectPr w:rsidR="00300F99" w:rsidRPr="0036786D" w:rsidSect="00300F99">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topia" w:date="2020-10-13T09:49:00Z" w:initials="">
    <w:p w:rsidR="00300F99" w:rsidRDefault="00407770">
      <w:pPr>
        <w:pStyle w:val="a3"/>
      </w:pPr>
      <w:r>
        <w:rPr>
          <w:rFonts w:hint="eastAsia"/>
        </w:rPr>
        <w:t>本期兼顾二轮复习进度，建议适当调整文章内容，凸显本期主题</w:t>
      </w:r>
    </w:p>
    <w:p w:rsidR="00300F99" w:rsidRDefault="00300F99">
      <w:pPr>
        <w:pStyle w:val="a3"/>
      </w:pPr>
    </w:p>
    <w:p w:rsidR="00300F99" w:rsidRDefault="00407770">
      <w:pPr>
        <w:pStyle w:val="a3"/>
      </w:pPr>
      <w:r>
        <w:rPr>
          <w:rFonts w:hint="eastAsia"/>
        </w:rPr>
        <w:t>文章主要分析课外学术成果在高考历史试题中的渗透，建议适当补充由此而得出的对高三教师复习备考的启示、策略等，增强文章的实用性</w:t>
      </w:r>
    </w:p>
  </w:comment>
  <w:comment w:id="2" w:author="Utopia" w:date="2020-10-13T09:51:00Z" w:initials="">
    <w:p w:rsidR="00300F99" w:rsidRDefault="00407770">
      <w:pPr>
        <w:pStyle w:val="a3"/>
      </w:pPr>
      <w:r>
        <w:rPr>
          <w:rFonts w:hint="eastAsia"/>
        </w:rPr>
        <w:t>文章中涉及高考真题，应至少替换或补充一道题为</w:t>
      </w:r>
      <w:r>
        <w:rPr>
          <w:rFonts w:hint="eastAsia"/>
        </w:rPr>
        <w:t>2020</w:t>
      </w:r>
      <w:r>
        <w:rPr>
          <w:rFonts w:hint="eastAsia"/>
        </w:rPr>
        <w:t>年高考真题，凸显文章的时效性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C17403" w15:done="0"/>
  <w15:commentEx w15:paraId="40BB7FC3" w15:done="0"/>
  <w15:commentEx w15:paraId="47EB7A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259" w:rsidRDefault="003F2259" w:rsidP="00352A6A">
      <w:pPr>
        <w:spacing w:after="0"/>
      </w:pPr>
      <w:r>
        <w:separator/>
      </w:r>
    </w:p>
  </w:endnote>
  <w:endnote w:type="continuationSeparator" w:id="0">
    <w:p w:rsidR="003F2259" w:rsidRDefault="003F2259" w:rsidP="00352A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259" w:rsidRDefault="003F2259" w:rsidP="00352A6A">
      <w:pPr>
        <w:spacing w:after="0"/>
      </w:pPr>
      <w:r>
        <w:separator/>
      </w:r>
    </w:p>
  </w:footnote>
  <w:footnote w:type="continuationSeparator" w:id="0">
    <w:p w:rsidR="003F2259" w:rsidRDefault="003F2259" w:rsidP="00352A6A">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topia">
    <w15:presenceInfo w15:providerId="WPS Office" w15:userId="1343251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hdrShapeDefaults>
    <o:shapedefaults v:ext="edit" spidmax="41986"/>
  </w:hdrShapeDefaults>
  <w:footnotePr>
    <w:footnote w:id="-1"/>
    <w:footnote w:id="0"/>
  </w:footnotePr>
  <w:endnotePr>
    <w:endnote w:id="-1"/>
    <w:endnote w:id="0"/>
  </w:endnotePr>
  <w:compat>
    <w:useFELayout/>
  </w:compat>
  <w:rsids>
    <w:rsidRoot w:val="00D31D50"/>
    <w:rsid w:val="00005EA3"/>
    <w:rsid w:val="00010158"/>
    <w:rsid w:val="00010193"/>
    <w:rsid w:val="000128BC"/>
    <w:rsid w:val="00012C36"/>
    <w:rsid w:val="00016481"/>
    <w:rsid w:val="0002106A"/>
    <w:rsid w:val="00022163"/>
    <w:rsid w:val="000311D0"/>
    <w:rsid w:val="0003289C"/>
    <w:rsid w:val="000551D1"/>
    <w:rsid w:val="000662D0"/>
    <w:rsid w:val="00090940"/>
    <w:rsid w:val="00097AAF"/>
    <w:rsid w:val="000A0CA2"/>
    <w:rsid w:val="000A296B"/>
    <w:rsid w:val="000B0F5C"/>
    <w:rsid w:val="000B2443"/>
    <w:rsid w:val="000D048E"/>
    <w:rsid w:val="000E0323"/>
    <w:rsid w:val="000E7617"/>
    <w:rsid w:val="00114D40"/>
    <w:rsid w:val="00115AA1"/>
    <w:rsid w:val="0011661F"/>
    <w:rsid w:val="00117587"/>
    <w:rsid w:val="001444BE"/>
    <w:rsid w:val="00144C96"/>
    <w:rsid w:val="00152E33"/>
    <w:rsid w:val="001563A8"/>
    <w:rsid w:val="00162E9E"/>
    <w:rsid w:val="0016403B"/>
    <w:rsid w:val="00176CD5"/>
    <w:rsid w:val="00182FCC"/>
    <w:rsid w:val="00191E27"/>
    <w:rsid w:val="001A2E5A"/>
    <w:rsid w:val="001A35F9"/>
    <w:rsid w:val="001A5EAA"/>
    <w:rsid w:val="001A76AE"/>
    <w:rsid w:val="001B09D1"/>
    <w:rsid w:val="001E7242"/>
    <w:rsid w:val="001F62CC"/>
    <w:rsid w:val="00202508"/>
    <w:rsid w:val="002073C7"/>
    <w:rsid w:val="002243B0"/>
    <w:rsid w:val="002449FC"/>
    <w:rsid w:val="00245F11"/>
    <w:rsid w:val="002576B8"/>
    <w:rsid w:val="00265A96"/>
    <w:rsid w:val="002847E6"/>
    <w:rsid w:val="002973A4"/>
    <w:rsid w:val="002974BD"/>
    <w:rsid w:val="002A568C"/>
    <w:rsid w:val="002B63DC"/>
    <w:rsid w:val="002D6EB8"/>
    <w:rsid w:val="00300F99"/>
    <w:rsid w:val="0030441C"/>
    <w:rsid w:val="003213A4"/>
    <w:rsid w:val="0032264D"/>
    <w:rsid w:val="00323B43"/>
    <w:rsid w:val="00324BA1"/>
    <w:rsid w:val="00330F44"/>
    <w:rsid w:val="003318A6"/>
    <w:rsid w:val="00332BE2"/>
    <w:rsid w:val="003433B1"/>
    <w:rsid w:val="00352A6A"/>
    <w:rsid w:val="0035613E"/>
    <w:rsid w:val="0036786D"/>
    <w:rsid w:val="003811BD"/>
    <w:rsid w:val="003960D2"/>
    <w:rsid w:val="003A33EE"/>
    <w:rsid w:val="003A5531"/>
    <w:rsid w:val="003B0DE5"/>
    <w:rsid w:val="003B48C4"/>
    <w:rsid w:val="003B7998"/>
    <w:rsid w:val="003C0895"/>
    <w:rsid w:val="003C2623"/>
    <w:rsid w:val="003C599C"/>
    <w:rsid w:val="003D37D8"/>
    <w:rsid w:val="003E121D"/>
    <w:rsid w:val="003E4825"/>
    <w:rsid w:val="003F2259"/>
    <w:rsid w:val="003F748A"/>
    <w:rsid w:val="00402342"/>
    <w:rsid w:val="00407770"/>
    <w:rsid w:val="0041505E"/>
    <w:rsid w:val="00416E19"/>
    <w:rsid w:val="00426133"/>
    <w:rsid w:val="00433463"/>
    <w:rsid w:val="004357F8"/>
    <w:rsid w:val="004358AB"/>
    <w:rsid w:val="00437AF3"/>
    <w:rsid w:val="0044553F"/>
    <w:rsid w:val="00445FE8"/>
    <w:rsid w:val="00447566"/>
    <w:rsid w:val="0045532F"/>
    <w:rsid w:val="0045715A"/>
    <w:rsid w:val="004578C9"/>
    <w:rsid w:val="004659D5"/>
    <w:rsid w:val="00466D30"/>
    <w:rsid w:val="0047328B"/>
    <w:rsid w:val="00490055"/>
    <w:rsid w:val="004A1F6E"/>
    <w:rsid w:val="004B1242"/>
    <w:rsid w:val="004B7EFA"/>
    <w:rsid w:val="004C1BA1"/>
    <w:rsid w:val="004D294C"/>
    <w:rsid w:val="004E5970"/>
    <w:rsid w:val="004E68BB"/>
    <w:rsid w:val="004F3F11"/>
    <w:rsid w:val="00507F71"/>
    <w:rsid w:val="0051393F"/>
    <w:rsid w:val="00517740"/>
    <w:rsid w:val="00541453"/>
    <w:rsid w:val="00556D0E"/>
    <w:rsid w:val="00560651"/>
    <w:rsid w:val="00575D59"/>
    <w:rsid w:val="00583003"/>
    <w:rsid w:val="00590258"/>
    <w:rsid w:val="005B0AFA"/>
    <w:rsid w:val="005B2FC1"/>
    <w:rsid w:val="005B7951"/>
    <w:rsid w:val="005C3727"/>
    <w:rsid w:val="005C3ADA"/>
    <w:rsid w:val="005D2E2C"/>
    <w:rsid w:val="005F0D68"/>
    <w:rsid w:val="005F2731"/>
    <w:rsid w:val="0060107F"/>
    <w:rsid w:val="0060553C"/>
    <w:rsid w:val="0060748A"/>
    <w:rsid w:val="00611BD5"/>
    <w:rsid w:val="0062139B"/>
    <w:rsid w:val="00631EF4"/>
    <w:rsid w:val="00654257"/>
    <w:rsid w:val="0068017E"/>
    <w:rsid w:val="00681C43"/>
    <w:rsid w:val="006863F1"/>
    <w:rsid w:val="006B749B"/>
    <w:rsid w:val="006B7637"/>
    <w:rsid w:val="006C52DD"/>
    <w:rsid w:val="006C5D6B"/>
    <w:rsid w:val="006C72A7"/>
    <w:rsid w:val="006C7968"/>
    <w:rsid w:val="006E59D3"/>
    <w:rsid w:val="00717B60"/>
    <w:rsid w:val="007223E8"/>
    <w:rsid w:val="007228BA"/>
    <w:rsid w:val="00722BA5"/>
    <w:rsid w:val="00725925"/>
    <w:rsid w:val="0075683E"/>
    <w:rsid w:val="00764CE4"/>
    <w:rsid w:val="00765527"/>
    <w:rsid w:val="00772747"/>
    <w:rsid w:val="00772908"/>
    <w:rsid w:val="007749EB"/>
    <w:rsid w:val="007764CB"/>
    <w:rsid w:val="007773B3"/>
    <w:rsid w:val="00796798"/>
    <w:rsid w:val="007B1269"/>
    <w:rsid w:val="007C16DA"/>
    <w:rsid w:val="007C58A4"/>
    <w:rsid w:val="007D1B8C"/>
    <w:rsid w:val="007D7A20"/>
    <w:rsid w:val="007F6566"/>
    <w:rsid w:val="007F73FC"/>
    <w:rsid w:val="00813CC9"/>
    <w:rsid w:val="00817666"/>
    <w:rsid w:val="00826FF4"/>
    <w:rsid w:val="00831E65"/>
    <w:rsid w:val="0083283F"/>
    <w:rsid w:val="00834796"/>
    <w:rsid w:val="0084137B"/>
    <w:rsid w:val="00854368"/>
    <w:rsid w:val="00873E49"/>
    <w:rsid w:val="008940E7"/>
    <w:rsid w:val="008A0090"/>
    <w:rsid w:val="008B05EE"/>
    <w:rsid w:val="008B0A7F"/>
    <w:rsid w:val="008B7726"/>
    <w:rsid w:val="008D2F42"/>
    <w:rsid w:val="008D412C"/>
    <w:rsid w:val="008D7EFF"/>
    <w:rsid w:val="008F4B3A"/>
    <w:rsid w:val="008F5B08"/>
    <w:rsid w:val="008F66A8"/>
    <w:rsid w:val="009106BE"/>
    <w:rsid w:val="00914A8C"/>
    <w:rsid w:val="00922F9F"/>
    <w:rsid w:val="00930CD6"/>
    <w:rsid w:val="0094063F"/>
    <w:rsid w:val="00940D26"/>
    <w:rsid w:val="00962C75"/>
    <w:rsid w:val="00966227"/>
    <w:rsid w:val="00985773"/>
    <w:rsid w:val="00993D42"/>
    <w:rsid w:val="009D436F"/>
    <w:rsid w:val="009E638A"/>
    <w:rsid w:val="009F6EA0"/>
    <w:rsid w:val="00A04D8E"/>
    <w:rsid w:val="00A12646"/>
    <w:rsid w:val="00A24F35"/>
    <w:rsid w:val="00A36113"/>
    <w:rsid w:val="00A53149"/>
    <w:rsid w:val="00A5478D"/>
    <w:rsid w:val="00A657B1"/>
    <w:rsid w:val="00A70DFC"/>
    <w:rsid w:val="00A72C0D"/>
    <w:rsid w:val="00A72D22"/>
    <w:rsid w:val="00A85429"/>
    <w:rsid w:val="00A92A1C"/>
    <w:rsid w:val="00AA3952"/>
    <w:rsid w:val="00AB5D10"/>
    <w:rsid w:val="00AD59DB"/>
    <w:rsid w:val="00AE5D9B"/>
    <w:rsid w:val="00AF1F52"/>
    <w:rsid w:val="00AF6953"/>
    <w:rsid w:val="00B14F63"/>
    <w:rsid w:val="00B27F47"/>
    <w:rsid w:val="00B30410"/>
    <w:rsid w:val="00B410D0"/>
    <w:rsid w:val="00B4290F"/>
    <w:rsid w:val="00B454D4"/>
    <w:rsid w:val="00B549ED"/>
    <w:rsid w:val="00B55F8F"/>
    <w:rsid w:val="00B66CFF"/>
    <w:rsid w:val="00B7167F"/>
    <w:rsid w:val="00B737C9"/>
    <w:rsid w:val="00B77F93"/>
    <w:rsid w:val="00B978D2"/>
    <w:rsid w:val="00BA0551"/>
    <w:rsid w:val="00BB197A"/>
    <w:rsid w:val="00BB28A3"/>
    <w:rsid w:val="00BB68FA"/>
    <w:rsid w:val="00BC4A60"/>
    <w:rsid w:val="00BD0BFA"/>
    <w:rsid w:val="00BE6499"/>
    <w:rsid w:val="00C1068E"/>
    <w:rsid w:val="00C12DCC"/>
    <w:rsid w:val="00C33F84"/>
    <w:rsid w:val="00C630B1"/>
    <w:rsid w:val="00C63682"/>
    <w:rsid w:val="00C767DE"/>
    <w:rsid w:val="00C8677A"/>
    <w:rsid w:val="00C91DDB"/>
    <w:rsid w:val="00CA56A2"/>
    <w:rsid w:val="00CB2AA6"/>
    <w:rsid w:val="00CB33A5"/>
    <w:rsid w:val="00CC3D9F"/>
    <w:rsid w:val="00CF2CBD"/>
    <w:rsid w:val="00CF2DA0"/>
    <w:rsid w:val="00D00614"/>
    <w:rsid w:val="00D0175B"/>
    <w:rsid w:val="00D053E6"/>
    <w:rsid w:val="00D1603A"/>
    <w:rsid w:val="00D31D50"/>
    <w:rsid w:val="00D3416D"/>
    <w:rsid w:val="00D42F54"/>
    <w:rsid w:val="00D43C98"/>
    <w:rsid w:val="00D46314"/>
    <w:rsid w:val="00D46C79"/>
    <w:rsid w:val="00D527A6"/>
    <w:rsid w:val="00D55304"/>
    <w:rsid w:val="00D81CB2"/>
    <w:rsid w:val="00D921B0"/>
    <w:rsid w:val="00D932F5"/>
    <w:rsid w:val="00D97CCB"/>
    <w:rsid w:val="00DA1FC5"/>
    <w:rsid w:val="00DA2E1E"/>
    <w:rsid w:val="00DA4902"/>
    <w:rsid w:val="00DA7132"/>
    <w:rsid w:val="00DD061A"/>
    <w:rsid w:val="00DD32CC"/>
    <w:rsid w:val="00DD65ED"/>
    <w:rsid w:val="00DD751A"/>
    <w:rsid w:val="00DE75C0"/>
    <w:rsid w:val="00DF3A2A"/>
    <w:rsid w:val="00E10117"/>
    <w:rsid w:val="00E359E3"/>
    <w:rsid w:val="00E37025"/>
    <w:rsid w:val="00E44E86"/>
    <w:rsid w:val="00E75682"/>
    <w:rsid w:val="00E8000E"/>
    <w:rsid w:val="00E81B0A"/>
    <w:rsid w:val="00E96A29"/>
    <w:rsid w:val="00EA1924"/>
    <w:rsid w:val="00EA312B"/>
    <w:rsid w:val="00EA7472"/>
    <w:rsid w:val="00EB6A3E"/>
    <w:rsid w:val="00EC7629"/>
    <w:rsid w:val="00ED0623"/>
    <w:rsid w:val="00ED4014"/>
    <w:rsid w:val="00ED5058"/>
    <w:rsid w:val="00ED6F6F"/>
    <w:rsid w:val="00F05864"/>
    <w:rsid w:val="00F12777"/>
    <w:rsid w:val="00F17F17"/>
    <w:rsid w:val="00F209CB"/>
    <w:rsid w:val="00F30068"/>
    <w:rsid w:val="00F5466A"/>
    <w:rsid w:val="00F61291"/>
    <w:rsid w:val="00F8210E"/>
    <w:rsid w:val="00F82D3E"/>
    <w:rsid w:val="00F83102"/>
    <w:rsid w:val="00FA0050"/>
    <w:rsid w:val="00FC2397"/>
    <w:rsid w:val="00FF27E4"/>
    <w:rsid w:val="00FF3A26"/>
    <w:rsid w:val="60363FDF"/>
    <w:rsid w:val="7E4C7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9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300F99"/>
  </w:style>
  <w:style w:type="paragraph" w:styleId="a4">
    <w:name w:val="footer"/>
    <w:basedOn w:val="a"/>
    <w:link w:val="Char"/>
    <w:uiPriority w:val="99"/>
    <w:semiHidden/>
    <w:unhideWhenUsed/>
    <w:rsid w:val="00300F99"/>
    <w:pPr>
      <w:tabs>
        <w:tab w:val="center" w:pos="4153"/>
        <w:tab w:val="right" w:pos="8306"/>
      </w:tabs>
    </w:pPr>
    <w:rPr>
      <w:sz w:val="18"/>
      <w:szCs w:val="18"/>
    </w:rPr>
  </w:style>
  <w:style w:type="paragraph" w:styleId="a5">
    <w:name w:val="header"/>
    <w:basedOn w:val="a"/>
    <w:link w:val="Char0"/>
    <w:uiPriority w:val="99"/>
    <w:semiHidden/>
    <w:unhideWhenUsed/>
    <w:rsid w:val="00300F99"/>
    <w:pPr>
      <w:pBdr>
        <w:bottom w:val="single" w:sz="6" w:space="1" w:color="auto"/>
      </w:pBdr>
      <w:tabs>
        <w:tab w:val="center" w:pos="4153"/>
        <w:tab w:val="right" w:pos="8306"/>
      </w:tabs>
      <w:jc w:val="center"/>
    </w:pPr>
    <w:rPr>
      <w:sz w:val="18"/>
      <w:szCs w:val="18"/>
    </w:rPr>
  </w:style>
  <w:style w:type="table" w:styleId="a6">
    <w:name w:val="Table Grid"/>
    <w:basedOn w:val="a1"/>
    <w:uiPriority w:val="59"/>
    <w:rsid w:val="00300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ndnote reference"/>
    <w:basedOn w:val="a0"/>
    <w:rsid w:val="00300F99"/>
    <w:rPr>
      <w:vertAlign w:val="superscript"/>
    </w:rPr>
  </w:style>
  <w:style w:type="character" w:styleId="a8">
    <w:name w:val="Hyperlink"/>
    <w:basedOn w:val="a0"/>
    <w:uiPriority w:val="99"/>
    <w:unhideWhenUsed/>
    <w:rsid w:val="00300F99"/>
    <w:rPr>
      <w:color w:val="0000FF" w:themeColor="hyperlink"/>
      <w:u w:val="single"/>
    </w:rPr>
  </w:style>
  <w:style w:type="character" w:customStyle="1" w:styleId="Char0">
    <w:name w:val="页眉 Char"/>
    <w:basedOn w:val="a0"/>
    <w:link w:val="a5"/>
    <w:uiPriority w:val="99"/>
    <w:semiHidden/>
    <w:rsid w:val="00300F99"/>
    <w:rPr>
      <w:rFonts w:ascii="Tahoma" w:hAnsi="Tahoma"/>
      <w:sz w:val="18"/>
      <w:szCs w:val="18"/>
    </w:rPr>
  </w:style>
  <w:style w:type="character" w:customStyle="1" w:styleId="Char">
    <w:name w:val="页脚 Char"/>
    <w:basedOn w:val="a0"/>
    <w:link w:val="a4"/>
    <w:uiPriority w:val="99"/>
    <w:semiHidden/>
    <w:rsid w:val="00300F99"/>
    <w:rPr>
      <w:rFonts w:ascii="Tahoma" w:hAnsi="Tahoma"/>
      <w:sz w:val="18"/>
      <w:szCs w:val="18"/>
    </w:rPr>
  </w:style>
  <w:style w:type="paragraph" w:customStyle="1" w:styleId="Style901">
    <w:name w:val="_Style 901"/>
    <w:basedOn w:val="a"/>
    <w:rsid w:val="00300F99"/>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styleId="a9">
    <w:name w:val="annotation reference"/>
    <w:basedOn w:val="a0"/>
    <w:uiPriority w:val="99"/>
    <w:semiHidden/>
    <w:unhideWhenUsed/>
    <w:rsid w:val="00300F99"/>
    <w:rPr>
      <w:sz w:val="21"/>
      <w:szCs w:val="21"/>
    </w:rPr>
  </w:style>
  <w:style w:type="paragraph" w:styleId="aa">
    <w:name w:val="Balloon Text"/>
    <w:basedOn w:val="a"/>
    <w:link w:val="Char1"/>
    <w:uiPriority w:val="99"/>
    <w:semiHidden/>
    <w:unhideWhenUsed/>
    <w:rsid w:val="00352A6A"/>
    <w:pPr>
      <w:spacing w:after="0"/>
    </w:pPr>
    <w:rPr>
      <w:sz w:val="18"/>
      <w:szCs w:val="18"/>
    </w:rPr>
  </w:style>
  <w:style w:type="character" w:customStyle="1" w:styleId="Char1">
    <w:name w:val="批注框文本 Char"/>
    <w:basedOn w:val="a0"/>
    <w:link w:val="aa"/>
    <w:uiPriority w:val="99"/>
    <w:semiHidden/>
    <w:rsid w:val="00352A6A"/>
    <w:rPr>
      <w:rFonts w:ascii="Tahoma" w:hAnsi="Tahoma"/>
      <w:sz w:val="18"/>
      <w:szCs w:val="18"/>
    </w:rPr>
  </w:style>
  <w:style w:type="character" w:styleId="ab">
    <w:name w:val="Emphasis"/>
    <w:basedOn w:val="a0"/>
    <w:uiPriority w:val="20"/>
    <w:qFormat/>
    <w:rsid w:val="00490055"/>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iyuanlin85@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32B02-3DE1-4760-8E37-985ACD37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6</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2020-09-22T14:56:00Z</dcterms:created>
  <dcterms:modified xsi:type="dcterms:W3CDTF">2021-10-03T13:02:00Z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